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ind w:firstLine="640" w:firstLineChars="200"/>
        <w:jc w:val="left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  <w:sz w:val="32"/>
          <w:szCs w:val="32"/>
          <w:lang w:val="zh-CN" w:bidi="zh-CN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bidi="zh-CN"/>
        </w:rPr>
        <w:t>1</w:t>
      </w:r>
    </w:p>
    <w:p>
      <w:pPr>
        <w:spacing w:before="360"/>
        <w:ind w:left="556" w:right="561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扩大实施缓缴政策的困难行业名单</w:t>
      </w:r>
    </w:p>
    <w:p/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1.农副食品加工业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2.纺织业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3.纺织服装、服饰业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4.造纸和纸制品业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5.印刷和记录媒介复制业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6.医药制造业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7.化学纤维制造业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8.橡胶和塑料制品业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9.通用设备制造业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10.汽车制造业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11.铁路、船舶、航空航天和其他运输设备制造业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12.仪器仪表制造业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13.社会工作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14.广播、电视、电影和录音制作业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15.文化艺术业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16.体育</w:t>
      </w:r>
    </w:p>
    <w:p>
      <w:pPr>
        <w:spacing w:line="600" w:lineRule="exact"/>
        <w:ind w:firstLine="640" w:firstLineChars="200"/>
      </w:pPr>
      <w:r>
        <w:rPr>
          <w:rFonts w:ascii="Times New Roman" w:hAnsi="Times New Roman" w:eastAsia="仿宋_GB2312"/>
          <w:sz w:val="32"/>
          <w:szCs w:val="32"/>
        </w:rPr>
        <w:t>17.娱乐业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D403B"/>
    <w:rsid w:val="0E7C22FA"/>
    <w:rsid w:val="65CD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3">
    <w:name w:val="Body Text"/>
    <w:basedOn w:val="1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2022-06-11T07:28:00Z</dcterms:created>
  <dc:creator>Administrator</dc:creator>
  <cp:lastModifiedBy>Administrator</cp:lastModifiedBy>
  <dcterms:modified xsi:type="dcterms:W3CDTF">2022-06-11T07:35:22Z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