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Arial" w:hAnsi="Arial" w:eastAsia="黑体" w:cs="Arial"/>
          <w:sz w:val="36"/>
          <w:szCs w:val="36"/>
        </w:rPr>
      </w:pPr>
    </w:p>
    <w:p>
      <w:pPr>
        <w:jc w:val="center"/>
        <w:rPr>
          <w:rFonts w:hint="eastAsia" w:ascii="黑体" w:hAnsi="黑体" w:eastAsia="黑体"/>
          <w:sz w:val="36"/>
          <w:szCs w:val="36"/>
        </w:rPr>
      </w:pPr>
      <w:r>
        <w:rPr>
          <w:rFonts w:hint="eastAsia" w:ascii="黑体" w:hAnsi="黑体" w:eastAsia="黑体" w:cs="黑体"/>
          <w:sz w:val="36"/>
          <w:szCs w:val="36"/>
          <w:lang w:val="en-US" w:eastAsia="zh-CN"/>
        </w:rPr>
        <w:t>2022</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center"/>
        <w:rPr>
          <w:rFonts w:hint="eastAsia" w:ascii="黑体" w:hAnsi="黑体" w:eastAsia="黑体"/>
          <w:sz w:val="36"/>
          <w:szCs w:val="36"/>
        </w:rPr>
      </w:pPr>
    </w:p>
    <w:p>
      <w:pPr>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填报单位：（盖章）衡东县市场监督管理局</w:t>
      </w:r>
    </w:p>
    <w:tbl>
      <w:tblPr>
        <w:tblStyle w:val="3"/>
        <w:tblW w:w="9429"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402"/>
        <w:gridCol w:w="1205"/>
        <w:gridCol w:w="1357"/>
        <w:gridCol w:w="1430"/>
        <w:gridCol w:w="1177"/>
        <w:gridCol w:w="518"/>
        <w:gridCol w:w="2340"/>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6" w:hRule="atLeast"/>
        </w:trPr>
        <w:tc>
          <w:tcPr>
            <w:tcW w:w="1402" w:type="dxa"/>
            <w:vAlign w:val="center"/>
          </w:tcPr>
          <w:p>
            <w:pPr>
              <w:jc w:val="center"/>
              <w:rPr>
                <w:rFonts w:hint="eastAsia"/>
                <w:sz w:val="18"/>
                <w:szCs w:val="18"/>
              </w:rPr>
            </w:pPr>
            <w:r>
              <w:rPr>
                <w:rFonts w:hint="eastAsia"/>
                <w:sz w:val="18"/>
                <w:szCs w:val="18"/>
                <w:lang w:eastAsia="zh-CN"/>
              </w:rPr>
              <w:t>部门</w:t>
            </w:r>
            <w:r>
              <w:rPr>
                <w:rFonts w:hint="eastAsia"/>
                <w:sz w:val="18"/>
                <w:szCs w:val="18"/>
              </w:rPr>
              <w:t>名称</w:t>
            </w:r>
          </w:p>
        </w:tc>
        <w:tc>
          <w:tcPr>
            <w:tcW w:w="8027" w:type="dxa"/>
            <w:gridSpan w:val="6"/>
            <w:tcBorders>
              <w:bottom w:val="single" w:color="auto" w:sz="4" w:space="0"/>
            </w:tcBorders>
            <w:vAlign w:val="center"/>
          </w:tcPr>
          <w:p>
            <w:pPr>
              <w:jc w:val="left"/>
              <w:rPr>
                <w:rFonts w:hint="eastAsia"/>
                <w:sz w:val="18"/>
                <w:szCs w:val="18"/>
              </w:rPr>
            </w:pPr>
            <w:r>
              <w:rPr>
                <w:rFonts w:hint="eastAsia" w:asciiTheme="minorEastAsia" w:hAnsiTheme="minorEastAsia" w:eastAsiaTheme="minorEastAsia" w:cstheme="minorEastAsia"/>
                <w:sz w:val="18"/>
                <w:szCs w:val="18"/>
                <w:lang w:eastAsia="zh-CN"/>
              </w:rPr>
              <w:t>衡东县市场监督管理局</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6" w:hRule="atLeast"/>
        </w:trPr>
        <w:tc>
          <w:tcPr>
            <w:tcW w:w="1402" w:type="dxa"/>
            <w:vMerge w:val="restart"/>
            <w:vAlign w:val="center"/>
          </w:tcPr>
          <w:p>
            <w:pPr>
              <w:jc w:val="center"/>
              <w:rPr>
                <w:rFonts w:hint="eastAsia" w:eastAsiaTheme="minorEastAsia"/>
                <w:sz w:val="18"/>
                <w:szCs w:val="18"/>
                <w:lang w:eastAsia="zh-CN"/>
              </w:rPr>
            </w:pPr>
            <w:r>
              <w:rPr>
                <w:rFonts w:hint="eastAsia"/>
                <w:sz w:val="18"/>
                <w:szCs w:val="18"/>
                <w:lang w:eastAsia="zh-CN"/>
              </w:rPr>
              <w:t>年度预算申请（万元）</w:t>
            </w:r>
          </w:p>
        </w:tc>
        <w:tc>
          <w:tcPr>
            <w:tcW w:w="8027" w:type="dxa"/>
            <w:gridSpan w:val="6"/>
            <w:tcBorders>
              <w:top w:val="single" w:color="auto" w:sz="4" w:space="0"/>
            </w:tcBorders>
            <w:vAlign w:val="center"/>
          </w:tcPr>
          <w:p>
            <w:pPr>
              <w:jc w:val="left"/>
              <w:rPr>
                <w:rFonts w:hint="default"/>
                <w:sz w:val="18"/>
                <w:szCs w:val="18"/>
                <w:lang w:val="en-US"/>
              </w:rPr>
            </w:pPr>
            <w:r>
              <w:rPr>
                <w:rFonts w:hint="eastAsia"/>
                <w:sz w:val="18"/>
                <w:szCs w:val="18"/>
                <w:lang w:eastAsia="zh-CN"/>
              </w:rPr>
              <w:t>资金总额：</w:t>
            </w:r>
            <w:r>
              <w:rPr>
                <w:rFonts w:hint="eastAsia"/>
                <w:sz w:val="18"/>
                <w:szCs w:val="18"/>
                <w:lang w:val="en-US" w:eastAsia="zh-CN"/>
              </w:rPr>
              <w:t>2741.4</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6" w:hRule="atLeast"/>
        </w:trPr>
        <w:tc>
          <w:tcPr>
            <w:tcW w:w="1402" w:type="dxa"/>
            <w:vMerge w:val="continue"/>
            <w:vAlign w:val="center"/>
          </w:tcPr>
          <w:p>
            <w:pPr>
              <w:jc w:val="center"/>
              <w:rPr>
                <w:rFonts w:hint="eastAsia" w:eastAsiaTheme="minorEastAsia"/>
                <w:sz w:val="18"/>
                <w:szCs w:val="18"/>
                <w:lang w:eastAsia="zh-CN"/>
              </w:rPr>
            </w:pPr>
          </w:p>
        </w:tc>
        <w:tc>
          <w:tcPr>
            <w:tcW w:w="3992" w:type="dxa"/>
            <w:gridSpan w:val="3"/>
            <w:tcBorders>
              <w:right w:val="single" w:color="auto" w:sz="4" w:space="0"/>
            </w:tcBorders>
            <w:vAlign w:val="center"/>
          </w:tcPr>
          <w:p>
            <w:pPr>
              <w:jc w:val="left"/>
              <w:rPr>
                <w:rFonts w:hint="default"/>
                <w:sz w:val="18"/>
                <w:szCs w:val="18"/>
                <w:lang w:val="en-US"/>
              </w:rPr>
            </w:pPr>
            <w:r>
              <w:rPr>
                <w:rFonts w:hint="eastAsia"/>
                <w:sz w:val="18"/>
                <w:szCs w:val="18"/>
                <w:lang w:eastAsia="zh-CN"/>
              </w:rPr>
              <w:t>按收入性质分：</w:t>
            </w:r>
          </w:p>
        </w:tc>
        <w:tc>
          <w:tcPr>
            <w:tcW w:w="4035" w:type="dxa"/>
            <w:gridSpan w:val="3"/>
            <w:tcBorders>
              <w:left w:val="single" w:color="auto" w:sz="4" w:space="0"/>
            </w:tcBorders>
            <w:vAlign w:val="center"/>
          </w:tcPr>
          <w:p>
            <w:pPr>
              <w:tabs>
                <w:tab w:val="left" w:pos="825"/>
              </w:tabs>
              <w:jc w:val="both"/>
              <w:rPr>
                <w:rFonts w:hint="eastAsia" w:eastAsiaTheme="minorEastAsia"/>
                <w:sz w:val="18"/>
                <w:szCs w:val="18"/>
                <w:lang w:eastAsia="zh-CN"/>
              </w:rPr>
            </w:pPr>
            <w:r>
              <w:rPr>
                <w:rFonts w:hint="eastAsia"/>
                <w:sz w:val="18"/>
                <w:szCs w:val="18"/>
                <w:lang w:eastAsia="zh-CN"/>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6" w:hRule="atLeast"/>
        </w:trPr>
        <w:tc>
          <w:tcPr>
            <w:tcW w:w="1402" w:type="dxa"/>
            <w:vMerge w:val="continue"/>
            <w:vAlign w:val="center"/>
          </w:tcPr>
          <w:p>
            <w:pPr>
              <w:jc w:val="center"/>
              <w:rPr>
                <w:rFonts w:hint="eastAsia"/>
                <w:sz w:val="18"/>
                <w:szCs w:val="18"/>
              </w:rPr>
            </w:pPr>
          </w:p>
        </w:tc>
        <w:tc>
          <w:tcPr>
            <w:tcW w:w="3992" w:type="dxa"/>
            <w:gridSpan w:val="3"/>
            <w:vAlign w:val="center"/>
          </w:tcPr>
          <w:p>
            <w:pPr>
              <w:jc w:val="both"/>
              <w:rPr>
                <w:rFonts w:hint="eastAsia"/>
                <w:sz w:val="18"/>
                <w:szCs w:val="18"/>
              </w:rPr>
            </w:pPr>
            <w:r>
              <w:rPr>
                <w:rFonts w:hint="eastAsia"/>
                <w:sz w:val="18"/>
                <w:szCs w:val="18"/>
                <w:lang w:eastAsia="zh-CN"/>
              </w:rPr>
              <w:t>其中：一般公共预算：</w:t>
            </w:r>
            <w:r>
              <w:rPr>
                <w:rFonts w:hint="eastAsia"/>
                <w:sz w:val="18"/>
                <w:szCs w:val="18"/>
                <w:lang w:val="en-US" w:eastAsia="zh-CN"/>
              </w:rPr>
              <w:t>2421.4</w:t>
            </w:r>
          </w:p>
        </w:tc>
        <w:tc>
          <w:tcPr>
            <w:tcW w:w="4035" w:type="dxa"/>
            <w:gridSpan w:val="3"/>
            <w:vAlign w:val="center"/>
          </w:tcPr>
          <w:p>
            <w:pPr>
              <w:jc w:val="both"/>
              <w:rPr>
                <w:rFonts w:hint="default"/>
                <w:sz w:val="18"/>
                <w:szCs w:val="18"/>
                <w:lang w:val="en-US" w:eastAsia="zh-CN"/>
              </w:rPr>
            </w:pPr>
            <w:r>
              <w:rPr>
                <w:rFonts w:hint="eastAsia"/>
                <w:sz w:val="18"/>
                <w:szCs w:val="18"/>
                <w:lang w:eastAsia="zh-CN"/>
              </w:rPr>
              <w:t>其中：基本支出：</w:t>
            </w:r>
            <w:r>
              <w:rPr>
                <w:rFonts w:hint="eastAsia"/>
                <w:sz w:val="18"/>
                <w:szCs w:val="18"/>
                <w:lang w:val="en-US" w:eastAsia="zh-CN"/>
              </w:rPr>
              <w:t>2396.8</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6" w:hRule="atLeast"/>
        </w:trPr>
        <w:tc>
          <w:tcPr>
            <w:tcW w:w="1402" w:type="dxa"/>
            <w:vMerge w:val="continue"/>
            <w:vAlign w:val="center"/>
          </w:tcPr>
          <w:p>
            <w:pPr>
              <w:jc w:val="center"/>
              <w:rPr>
                <w:rFonts w:hint="eastAsia"/>
                <w:sz w:val="18"/>
                <w:szCs w:val="18"/>
              </w:rPr>
            </w:pPr>
          </w:p>
        </w:tc>
        <w:tc>
          <w:tcPr>
            <w:tcW w:w="3992" w:type="dxa"/>
            <w:gridSpan w:val="3"/>
            <w:vAlign w:val="center"/>
          </w:tcPr>
          <w:p>
            <w:pPr>
              <w:ind w:firstLine="540" w:firstLineChars="300"/>
              <w:jc w:val="both"/>
              <w:rPr>
                <w:rFonts w:hint="eastAsia"/>
                <w:sz w:val="18"/>
                <w:szCs w:val="18"/>
              </w:rPr>
            </w:pPr>
            <w:r>
              <w:rPr>
                <w:rFonts w:hint="eastAsia"/>
                <w:sz w:val="18"/>
                <w:szCs w:val="18"/>
                <w:lang w:eastAsia="zh-CN"/>
              </w:rPr>
              <w:t>政府性基金拨款：</w:t>
            </w:r>
          </w:p>
        </w:tc>
        <w:tc>
          <w:tcPr>
            <w:tcW w:w="4035" w:type="dxa"/>
            <w:gridSpan w:val="3"/>
            <w:vAlign w:val="center"/>
          </w:tcPr>
          <w:p>
            <w:pPr>
              <w:ind w:firstLine="540" w:firstLineChars="300"/>
              <w:jc w:val="both"/>
              <w:rPr>
                <w:rFonts w:hint="default" w:eastAsiaTheme="minorEastAsia"/>
                <w:sz w:val="18"/>
                <w:szCs w:val="18"/>
                <w:lang w:val="en-US" w:eastAsia="zh-CN"/>
              </w:rPr>
            </w:pPr>
            <w:r>
              <w:rPr>
                <w:rFonts w:hint="eastAsia"/>
                <w:sz w:val="18"/>
                <w:szCs w:val="18"/>
                <w:lang w:eastAsia="zh-CN"/>
              </w:rPr>
              <w:t>项目支出：</w:t>
            </w:r>
            <w:r>
              <w:rPr>
                <w:rFonts w:hint="eastAsia"/>
                <w:sz w:val="18"/>
                <w:szCs w:val="18"/>
                <w:lang w:val="en-US" w:eastAsia="zh-CN"/>
              </w:rPr>
              <w:t>344.6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6" w:hRule="atLeast"/>
        </w:trPr>
        <w:tc>
          <w:tcPr>
            <w:tcW w:w="1402" w:type="dxa"/>
            <w:vMerge w:val="continue"/>
            <w:vAlign w:val="center"/>
          </w:tcPr>
          <w:p>
            <w:pPr>
              <w:jc w:val="center"/>
              <w:rPr>
                <w:rFonts w:hint="eastAsia"/>
                <w:sz w:val="18"/>
                <w:szCs w:val="18"/>
              </w:rPr>
            </w:pPr>
          </w:p>
        </w:tc>
        <w:tc>
          <w:tcPr>
            <w:tcW w:w="3992" w:type="dxa"/>
            <w:gridSpan w:val="3"/>
            <w:vAlign w:val="center"/>
          </w:tcPr>
          <w:p>
            <w:pPr>
              <w:ind w:firstLine="540" w:firstLineChars="300"/>
              <w:jc w:val="both"/>
              <w:rPr>
                <w:rFonts w:hint="default"/>
                <w:sz w:val="18"/>
                <w:szCs w:val="18"/>
                <w:lang w:val="en-US"/>
              </w:rPr>
            </w:pPr>
            <w:r>
              <w:rPr>
                <w:rFonts w:hint="eastAsia"/>
                <w:sz w:val="18"/>
                <w:szCs w:val="18"/>
                <w:lang w:eastAsia="zh-CN"/>
              </w:rPr>
              <w:t>纳入专户管理的非税收入拨款：</w:t>
            </w:r>
            <w:r>
              <w:rPr>
                <w:rFonts w:hint="eastAsia"/>
                <w:sz w:val="18"/>
                <w:szCs w:val="18"/>
                <w:lang w:val="en-US" w:eastAsia="zh-CN"/>
              </w:rPr>
              <w:t>320</w:t>
            </w:r>
          </w:p>
        </w:tc>
        <w:tc>
          <w:tcPr>
            <w:tcW w:w="4035" w:type="dxa"/>
            <w:gridSpan w:val="3"/>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386" w:hRule="atLeast"/>
        </w:trPr>
        <w:tc>
          <w:tcPr>
            <w:tcW w:w="1402" w:type="dxa"/>
            <w:vMerge w:val="continue"/>
            <w:vAlign w:val="center"/>
          </w:tcPr>
          <w:p>
            <w:pPr>
              <w:jc w:val="center"/>
              <w:rPr>
                <w:rFonts w:hint="eastAsia"/>
                <w:sz w:val="18"/>
                <w:szCs w:val="18"/>
              </w:rPr>
            </w:pPr>
          </w:p>
        </w:tc>
        <w:tc>
          <w:tcPr>
            <w:tcW w:w="3992" w:type="dxa"/>
            <w:gridSpan w:val="3"/>
            <w:vAlign w:val="center"/>
          </w:tcPr>
          <w:p>
            <w:pPr>
              <w:ind w:firstLine="540" w:firstLineChars="300"/>
              <w:jc w:val="both"/>
              <w:rPr>
                <w:rFonts w:hint="eastAsia"/>
                <w:sz w:val="18"/>
                <w:szCs w:val="18"/>
              </w:rPr>
            </w:pPr>
            <w:r>
              <w:rPr>
                <w:rFonts w:hint="eastAsia"/>
                <w:sz w:val="18"/>
                <w:szCs w:val="18"/>
              </w:rPr>
              <w:t>其他资金</w:t>
            </w:r>
          </w:p>
        </w:tc>
        <w:tc>
          <w:tcPr>
            <w:tcW w:w="4035" w:type="dxa"/>
            <w:gridSpan w:val="3"/>
            <w:vAlign w:val="center"/>
          </w:tcPr>
          <w:p>
            <w:pPr>
              <w:jc w:val="center"/>
              <w:rPr>
                <w:rFonts w:hint="eastAsia"/>
                <w:sz w:val="18"/>
                <w:szCs w:val="1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09" w:hRule="atLeast"/>
        </w:trPr>
        <w:tc>
          <w:tcPr>
            <w:tcW w:w="1402" w:type="dxa"/>
            <w:vAlign w:val="center"/>
          </w:tcPr>
          <w:p>
            <w:pPr>
              <w:jc w:val="center"/>
              <w:rPr>
                <w:rFonts w:hint="eastAsia"/>
                <w:sz w:val="18"/>
                <w:szCs w:val="18"/>
                <w:lang w:eastAsia="zh-CN"/>
              </w:rPr>
            </w:pPr>
            <w:r>
              <w:rPr>
                <w:rFonts w:hint="eastAsia"/>
                <w:sz w:val="18"/>
                <w:szCs w:val="18"/>
                <w:lang w:eastAsia="zh-CN"/>
              </w:rPr>
              <w:t>部门职能</w:t>
            </w:r>
          </w:p>
          <w:p>
            <w:pPr>
              <w:jc w:val="center"/>
              <w:rPr>
                <w:rFonts w:hint="eastAsia" w:eastAsiaTheme="minorEastAsia"/>
                <w:sz w:val="18"/>
                <w:szCs w:val="18"/>
                <w:lang w:eastAsia="zh-CN"/>
              </w:rPr>
            </w:pPr>
            <w:r>
              <w:rPr>
                <w:rFonts w:hint="eastAsia"/>
                <w:sz w:val="18"/>
                <w:szCs w:val="18"/>
                <w:lang w:eastAsia="zh-CN"/>
              </w:rPr>
              <w:t>职责概述</w:t>
            </w:r>
          </w:p>
        </w:tc>
        <w:tc>
          <w:tcPr>
            <w:tcW w:w="8027" w:type="dxa"/>
            <w:gridSpan w:val="6"/>
            <w:vAlign w:val="top"/>
          </w:tcPr>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负责组织实施国家、省、市、县有关食品药品监督管理、工商行政管理、质量技术监督等方面的法律、法规、规章和政策；</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负责涉及食品药品监督管理、工商行政管理、质量技术监督的各类行政审批和行政许可并监督管理；</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负责拟订并组织实施市场监督管理事业发展规划和技术机构建设规划；</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负责拟定并协调推进食品安全规划；</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负责依法承担对各类市场经营秩序监管责任；</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负责依法管理和指导质量工作，负责质量宏观管理和产品（商品）质量监督检查工作；</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负责依法承担消费者权益保护责任，建立消费者权益保护体系，组织指导消费维权工作；</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负责商标监督管理工作，依法保护商标专用权；</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负责管理标准化工作；</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负责管理计量工作；</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负责辖区内综合管理特种设备的安全监察、监督工作；</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负责辖区内产品质量安全监督工作</w:t>
            </w:r>
            <w:r>
              <w:rPr>
                <w:rFonts w:hint="eastAsia" w:ascii="宋体" w:hAnsi="宋体" w:eastAsia="宋体" w:cs="宋体"/>
                <w:i w:val="0"/>
                <w:caps w:val="0"/>
                <w:color w:val="auto"/>
                <w:spacing w:val="0"/>
                <w:sz w:val="18"/>
                <w:szCs w:val="18"/>
                <w:shd w:val="clear" w:color="auto" w:fill="auto"/>
                <w:lang w:eastAsia="zh-CN"/>
              </w:rPr>
              <w:t>；</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负责管理合格评定工作；</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负责依法承担辖区内食品（含食品添加剂、保健食品、酒类食品）、药品（含中药）、医疗器械、化妆品的质量安全监督管理工作；</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负责监督实施国家药典等药品和医疗器械标准、分类管理制度，负责监督实施药品和医疗器械生产、经营、使用质量管理规范</w:t>
            </w:r>
            <w:r>
              <w:rPr>
                <w:rFonts w:hint="eastAsia" w:ascii="宋体" w:hAnsi="宋体" w:eastAsia="宋体" w:cs="宋体"/>
                <w:i w:val="0"/>
                <w:caps w:val="0"/>
                <w:color w:val="auto"/>
                <w:spacing w:val="0"/>
                <w:sz w:val="18"/>
                <w:szCs w:val="18"/>
                <w:shd w:val="clear" w:color="auto" w:fill="auto"/>
                <w:lang w:eastAsia="zh-CN"/>
              </w:rPr>
              <w:t>；</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负责全县食品安全委员会日常工作；</w:t>
            </w:r>
          </w:p>
          <w:p>
            <w:pPr>
              <w:numPr>
                <w:ilvl w:val="0"/>
                <w:numId w:val="1"/>
              </w:numPr>
              <w:jc w:val="left"/>
              <w:rPr>
                <w:rFonts w:hint="eastAsia" w:ascii="宋体" w:hAnsi="宋体" w:eastAsia="宋体" w:cs="宋体"/>
                <w:i w:val="0"/>
                <w:caps w:val="0"/>
                <w:color w:val="auto"/>
                <w:spacing w:val="0"/>
                <w:sz w:val="18"/>
                <w:szCs w:val="18"/>
                <w:shd w:val="clear" w:color="auto" w:fill="auto"/>
                <w:lang w:val="en-US" w:eastAsia="zh-CN"/>
              </w:rPr>
            </w:pPr>
            <w:r>
              <w:rPr>
                <w:rFonts w:hint="eastAsia" w:ascii="宋体" w:hAnsi="宋体" w:eastAsia="宋体" w:cs="宋体"/>
                <w:i w:val="0"/>
                <w:caps w:val="0"/>
                <w:color w:val="auto"/>
                <w:spacing w:val="0"/>
                <w:sz w:val="18"/>
                <w:szCs w:val="18"/>
                <w:shd w:val="clear" w:color="auto" w:fill="auto"/>
              </w:rPr>
              <w:t>负责职责范围内对有关行业、领域的环境保护和安全生产工作实施监督管理</w:t>
            </w:r>
            <w:r>
              <w:rPr>
                <w:rFonts w:hint="eastAsia" w:ascii="宋体" w:hAnsi="宋体" w:eastAsia="宋体" w:cs="宋体"/>
                <w:i w:val="0"/>
                <w:caps w:val="0"/>
                <w:color w:val="auto"/>
                <w:spacing w:val="0"/>
                <w:sz w:val="18"/>
                <w:szCs w:val="18"/>
                <w:shd w:val="clear" w:color="auto" w:fill="auto"/>
                <w:lang w:eastAsia="zh-CN"/>
              </w:rPr>
              <w:t>；</w:t>
            </w:r>
            <w:r>
              <w:rPr>
                <w:rFonts w:hint="eastAsia" w:ascii="宋体" w:hAnsi="宋体" w:eastAsia="宋体" w:cs="宋体"/>
                <w:i w:val="0"/>
                <w:caps w:val="0"/>
                <w:color w:val="auto"/>
                <w:spacing w:val="0"/>
                <w:sz w:val="18"/>
                <w:szCs w:val="18"/>
                <w:shd w:val="clear" w:color="auto" w:fill="auto"/>
              </w:rPr>
              <w:t> </w:t>
            </w:r>
          </w:p>
          <w:p>
            <w:pPr>
              <w:numPr>
                <w:ilvl w:val="0"/>
                <w:numId w:val="1"/>
              </w:numPr>
              <w:jc w:val="left"/>
              <w:rPr>
                <w:rFonts w:hint="eastAsia" w:ascii="宋体" w:hAnsi="宋体" w:eastAsia="宋体" w:cs="宋体"/>
                <w:i w:val="0"/>
                <w:caps w:val="0"/>
                <w:color w:val="383838"/>
                <w:spacing w:val="0"/>
                <w:sz w:val="18"/>
                <w:szCs w:val="18"/>
                <w:shd w:val="clear" w:fill="FFFFFF"/>
                <w:lang w:val="en-US" w:eastAsia="zh-CN"/>
              </w:rPr>
            </w:pPr>
            <w:r>
              <w:rPr>
                <w:rFonts w:hint="eastAsia" w:ascii="宋体" w:hAnsi="宋体" w:eastAsia="宋体" w:cs="宋体"/>
                <w:i w:val="0"/>
                <w:caps w:val="0"/>
                <w:color w:val="auto"/>
                <w:spacing w:val="0"/>
                <w:sz w:val="18"/>
                <w:szCs w:val="18"/>
                <w:shd w:val="clear" w:color="auto" w:fill="auto"/>
              </w:rPr>
              <w:t>承办县委、县政府交办的其他事项。 </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4" w:hRule="atLeast"/>
        </w:trPr>
        <w:tc>
          <w:tcPr>
            <w:tcW w:w="1402" w:type="dxa"/>
            <w:vAlign w:val="center"/>
          </w:tcPr>
          <w:p>
            <w:pPr>
              <w:jc w:val="center"/>
              <w:rPr>
                <w:rFonts w:hint="eastAsia"/>
                <w:sz w:val="18"/>
                <w:szCs w:val="18"/>
                <w:lang w:eastAsia="zh-CN"/>
              </w:rPr>
            </w:pPr>
            <w:r>
              <w:rPr>
                <w:rFonts w:hint="eastAsia"/>
                <w:sz w:val="18"/>
                <w:szCs w:val="18"/>
                <w:lang w:eastAsia="zh-CN"/>
              </w:rPr>
              <w:t>整体绩效目标</w:t>
            </w:r>
          </w:p>
        </w:tc>
        <w:tc>
          <w:tcPr>
            <w:tcW w:w="8027" w:type="dxa"/>
            <w:gridSpan w:val="6"/>
            <w:vAlign w:val="center"/>
          </w:tcPr>
          <w:p>
            <w:pPr>
              <w:numPr>
                <w:ilvl w:val="0"/>
                <w:numId w:val="2"/>
              </w:numPr>
              <w:jc w:val="left"/>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通过预算执行，保证本单位工作的正常运转；</w:t>
            </w:r>
          </w:p>
          <w:p>
            <w:pPr>
              <w:numPr>
                <w:ilvl w:val="0"/>
                <w:numId w:val="2"/>
              </w:numPr>
              <w:jc w:val="left"/>
              <w:rPr>
                <w:rFonts w:hint="eastAsia" w:ascii="宋体" w:hAnsi="宋体" w:eastAsia="宋体" w:cs="宋体"/>
                <w:sz w:val="18"/>
                <w:szCs w:val="18"/>
                <w:lang w:val="en-US" w:eastAsia="zh-CN"/>
              </w:rPr>
            </w:pPr>
            <w:r>
              <w:rPr>
                <w:rFonts w:hint="eastAsia" w:ascii="宋体" w:hAnsi="宋体" w:eastAsia="宋体" w:cs="宋体"/>
                <w:b w:val="0"/>
                <w:bCs/>
                <w:sz w:val="18"/>
                <w:szCs w:val="18"/>
                <w:lang w:eastAsia="zh-CN"/>
              </w:rPr>
              <w:t>加强市场监督管理，打击违法违规行为，营造良好市场环境。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1402" w:type="dxa"/>
            <w:vMerge w:val="restart"/>
            <w:vAlign w:val="center"/>
          </w:tcPr>
          <w:p>
            <w:pPr>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部门整体支出</w:t>
            </w:r>
            <w:r>
              <w:rPr>
                <w:rFonts w:hint="eastAsia" w:ascii="宋体" w:hAnsi="宋体" w:eastAsia="宋体" w:cs="宋体"/>
                <w:sz w:val="18"/>
                <w:szCs w:val="18"/>
                <w:lang w:val="en-US" w:eastAsia="zh-CN"/>
              </w:rPr>
              <w:t xml:space="preserve">  </w:t>
            </w:r>
            <w:r>
              <w:rPr>
                <w:rFonts w:hint="eastAsia" w:ascii="宋体" w:hAnsi="宋体" w:eastAsia="宋体" w:cs="宋体"/>
                <w:sz w:val="18"/>
                <w:szCs w:val="18"/>
                <w:lang w:eastAsia="zh-CN"/>
              </w:rPr>
              <w:t>年度绩效指标</w:t>
            </w:r>
          </w:p>
        </w:tc>
        <w:tc>
          <w:tcPr>
            <w:tcW w:w="1205" w:type="dxa"/>
            <w:tcBorders>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一级指标</w:t>
            </w:r>
          </w:p>
        </w:tc>
        <w:tc>
          <w:tcPr>
            <w:tcW w:w="1357" w:type="dxa"/>
            <w:tcBorders>
              <w:lef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二级指标</w:t>
            </w:r>
          </w:p>
        </w:tc>
        <w:tc>
          <w:tcPr>
            <w:tcW w:w="2607" w:type="dxa"/>
            <w:gridSpan w:val="2"/>
            <w:vAlign w:val="center"/>
          </w:tcPr>
          <w:p>
            <w:pPr>
              <w:jc w:val="center"/>
              <w:rPr>
                <w:rFonts w:hint="eastAsia" w:ascii="宋体" w:hAnsi="宋体" w:eastAsia="宋体" w:cs="宋体"/>
                <w:sz w:val="18"/>
                <w:szCs w:val="18"/>
                <w:lang w:eastAsia="zh-CN"/>
              </w:rPr>
            </w:pPr>
            <w:r>
              <w:rPr>
                <w:rFonts w:hint="eastAsia" w:ascii="宋体" w:hAnsi="宋体" w:eastAsia="宋体" w:cs="宋体"/>
                <w:sz w:val="18"/>
                <w:szCs w:val="18"/>
              </w:rPr>
              <w:t>三级</w:t>
            </w:r>
            <w:r>
              <w:rPr>
                <w:rFonts w:hint="eastAsia" w:ascii="宋体" w:hAnsi="宋体" w:eastAsia="宋体" w:cs="宋体"/>
                <w:sz w:val="18"/>
                <w:szCs w:val="18"/>
                <w:lang w:eastAsia="zh-CN"/>
              </w:rPr>
              <w:t>指标</w:t>
            </w:r>
          </w:p>
        </w:tc>
        <w:tc>
          <w:tcPr>
            <w:tcW w:w="2858" w:type="dxa"/>
            <w:gridSpan w:val="2"/>
            <w:tcBorders>
              <w:right w:val="single" w:color="auto" w:sz="4" w:space="0"/>
            </w:tcBorders>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1402" w:type="dxa"/>
            <w:vMerge w:val="continue"/>
            <w:vAlign w:val="center"/>
          </w:tcPr>
          <w:p>
            <w:pPr>
              <w:jc w:val="center"/>
              <w:rPr>
                <w:rFonts w:hint="eastAsia" w:ascii="宋体" w:hAnsi="宋体" w:eastAsia="宋体" w:cs="宋体"/>
                <w:sz w:val="18"/>
                <w:szCs w:val="18"/>
              </w:rPr>
            </w:pPr>
          </w:p>
        </w:tc>
        <w:tc>
          <w:tcPr>
            <w:tcW w:w="1205" w:type="dxa"/>
            <w:vMerge w:val="restart"/>
            <w:tcBorders>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产出指标</w:t>
            </w:r>
          </w:p>
        </w:tc>
        <w:tc>
          <w:tcPr>
            <w:tcW w:w="1357" w:type="dxa"/>
            <w:vMerge w:val="restart"/>
            <w:tcBorders>
              <w:lef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数量指标</w:t>
            </w:r>
          </w:p>
        </w:tc>
        <w:tc>
          <w:tcPr>
            <w:tcW w:w="2607" w:type="dxa"/>
            <w:gridSpan w:val="2"/>
            <w:vAlign w:val="center"/>
          </w:tcPr>
          <w:p>
            <w:pPr>
              <w:jc w:val="left"/>
              <w:rPr>
                <w:rFonts w:hint="eastAsia" w:ascii="宋体" w:hAnsi="宋体" w:eastAsia="宋体" w:cs="宋体"/>
                <w:sz w:val="18"/>
                <w:szCs w:val="18"/>
                <w:lang w:eastAsia="zh-CN"/>
              </w:rPr>
            </w:pPr>
            <w:r>
              <w:rPr>
                <w:rFonts w:hint="eastAsia" w:ascii="宋体" w:hAnsi="宋体" w:eastAsia="宋体" w:cs="宋体"/>
                <w:sz w:val="18"/>
                <w:szCs w:val="18"/>
                <w:lang w:eastAsia="zh-CN"/>
              </w:rPr>
              <w:t>本单位财政供养人员</w:t>
            </w:r>
          </w:p>
        </w:tc>
        <w:tc>
          <w:tcPr>
            <w:tcW w:w="2858" w:type="dxa"/>
            <w:gridSpan w:val="2"/>
            <w:tcBorders>
              <w:right w:val="single" w:color="auto" w:sz="4" w:space="0"/>
            </w:tcBorders>
            <w:vAlign w:val="center"/>
          </w:tcPr>
          <w:p>
            <w:pPr>
              <w:jc w:val="center"/>
              <w:rPr>
                <w:rFonts w:hint="eastAsia" w:ascii="宋体" w:hAnsi="宋体" w:eastAsia="宋体" w:cs="宋体"/>
                <w:sz w:val="18"/>
                <w:szCs w:val="18"/>
                <w:lang w:val="en-US"/>
              </w:rPr>
            </w:pPr>
            <w:r>
              <w:rPr>
                <w:rFonts w:hint="eastAsia" w:ascii="宋体" w:hAnsi="宋体" w:eastAsia="宋体" w:cs="宋体"/>
                <w:sz w:val="18"/>
                <w:szCs w:val="18"/>
                <w:lang w:eastAsia="zh-CN"/>
              </w:rPr>
              <w:t>在职人员</w:t>
            </w:r>
            <w:r>
              <w:rPr>
                <w:rFonts w:hint="eastAsia" w:ascii="宋体" w:hAnsi="宋体" w:eastAsia="宋体" w:cs="宋体"/>
                <w:sz w:val="18"/>
                <w:szCs w:val="18"/>
                <w:lang w:val="en-US" w:eastAsia="zh-CN"/>
              </w:rPr>
              <w:t>178人，退休人员99人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1402" w:type="dxa"/>
            <w:vMerge w:val="continue"/>
            <w:vAlign w:val="center"/>
          </w:tcPr>
          <w:p>
            <w:pPr>
              <w:jc w:val="center"/>
              <w:rPr>
                <w:rFonts w:hint="eastAsia" w:ascii="宋体" w:hAnsi="宋体" w:eastAsia="宋体" w:cs="宋体"/>
                <w:sz w:val="18"/>
                <w:szCs w:val="18"/>
              </w:rPr>
            </w:pPr>
          </w:p>
        </w:tc>
        <w:tc>
          <w:tcPr>
            <w:tcW w:w="1205" w:type="dxa"/>
            <w:vMerge w:val="continue"/>
            <w:tcBorders>
              <w:right w:val="single" w:color="auto" w:sz="4" w:space="0"/>
            </w:tcBorders>
            <w:vAlign w:val="center"/>
          </w:tcPr>
          <w:p>
            <w:pPr>
              <w:jc w:val="center"/>
              <w:rPr>
                <w:rFonts w:hint="eastAsia" w:ascii="宋体" w:hAnsi="宋体" w:eastAsia="宋体" w:cs="宋体"/>
                <w:sz w:val="18"/>
                <w:szCs w:val="18"/>
              </w:rPr>
            </w:pPr>
          </w:p>
        </w:tc>
        <w:tc>
          <w:tcPr>
            <w:tcW w:w="1357" w:type="dxa"/>
            <w:vMerge w:val="continue"/>
            <w:tcBorders>
              <w:left w:val="single" w:color="auto" w:sz="4" w:space="0"/>
            </w:tcBorders>
            <w:vAlign w:val="center"/>
          </w:tcPr>
          <w:p>
            <w:pPr>
              <w:jc w:val="center"/>
              <w:rPr>
                <w:rFonts w:hint="eastAsia" w:ascii="宋体" w:hAnsi="宋体" w:eastAsia="宋体" w:cs="宋体"/>
                <w:sz w:val="18"/>
                <w:szCs w:val="18"/>
              </w:rPr>
            </w:pPr>
          </w:p>
        </w:tc>
        <w:tc>
          <w:tcPr>
            <w:tcW w:w="2607" w:type="dxa"/>
            <w:gridSpan w:val="2"/>
            <w:vAlign w:val="center"/>
          </w:tcPr>
          <w:p>
            <w:pPr>
              <w:jc w:val="left"/>
              <w:rPr>
                <w:rFonts w:hint="eastAsia" w:ascii="宋体" w:hAnsi="宋体" w:eastAsia="宋体" w:cs="宋体"/>
                <w:sz w:val="18"/>
                <w:szCs w:val="18"/>
                <w:lang w:eastAsia="zh-CN"/>
              </w:rPr>
            </w:pPr>
            <w:r>
              <w:rPr>
                <w:rFonts w:hint="eastAsia" w:ascii="宋体" w:hAnsi="宋体" w:eastAsia="宋体" w:cs="宋体"/>
                <w:sz w:val="18"/>
                <w:szCs w:val="18"/>
                <w:lang w:eastAsia="zh-CN"/>
              </w:rPr>
              <w:t>部门单位履职、运转</w:t>
            </w:r>
          </w:p>
        </w:tc>
        <w:tc>
          <w:tcPr>
            <w:tcW w:w="2858" w:type="dxa"/>
            <w:gridSpan w:val="2"/>
            <w:tcBorders>
              <w:right w:val="single" w:color="auto" w:sz="4" w:space="0"/>
            </w:tcBorders>
            <w:vAlign w:val="center"/>
          </w:tcPr>
          <w:p>
            <w:pPr>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1402" w:type="dxa"/>
            <w:vMerge w:val="continue"/>
            <w:vAlign w:val="center"/>
          </w:tcPr>
          <w:p>
            <w:pPr>
              <w:jc w:val="center"/>
              <w:rPr>
                <w:rFonts w:hint="eastAsia" w:ascii="宋体" w:hAnsi="宋体" w:eastAsia="宋体" w:cs="宋体"/>
                <w:sz w:val="18"/>
                <w:szCs w:val="18"/>
              </w:rPr>
            </w:pPr>
          </w:p>
        </w:tc>
        <w:tc>
          <w:tcPr>
            <w:tcW w:w="1205" w:type="dxa"/>
            <w:vMerge w:val="continue"/>
            <w:tcBorders>
              <w:right w:val="single" w:color="auto" w:sz="4" w:space="0"/>
            </w:tcBorders>
            <w:vAlign w:val="center"/>
          </w:tcPr>
          <w:p>
            <w:pPr>
              <w:jc w:val="center"/>
              <w:rPr>
                <w:rFonts w:hint="eastAsia" w:ascii="宋体" w:hAnsi="宋体" w:eastAsia="宋体" w:cs="宋体"/>
                <w:sz w:val="18"/>
                <w:szCs w:val="18"/>
              </w:rPr>
            </w:pPr>
          </w:p>
        </w:tc>
        <w:tc>
          <w:tcPr>
            <w:tcW w:w="1357" w:type="dxa"/>
            <w:vMerge w:val="restart"/>
            <w:tcBorders>
              <w:lef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质量指标</w:t>
            </w:r>
          </w:p>
        </w:tc>
        <w:tc>
          <w:tcPr>
            <w:tcW w:w="2607" w:type="dxa"/>
            <w:gridSpan w:val="2"/>
            <w:vAlign w:val="center"/>
          </w:tcPr>
          <w:p>
            <w:pPr>
              <w:jc w:val="left"/>
              <w:rPr>
                <w:rFonts w:hint="eastAsia" w:ascii="宋体" w:hAnsi="宋体" w:eastAsia="宋体" w:cs="宋体"/>
                <w:sz w:val="18"/>
                <w:szCs w:val="18"/>
              </w:rPr>
            </w:pPr>
            <w:r>
              <w:rPr>
                <w:rFonts w:hint="eastAsia" w:ascii="宋体" w:hAnsi="宋体" w:eastAsia="宋体" w:cs="宋体"/>
                <w:kern w:val="0"/>
                <w:sz w:val="18"/>
                <w:szCs w:val="18"/>
              </w:rPr>
              <w:t>在职人员控制率</w:t>
            </w:r>
          </w:p>
        </w:tc>
        <w:tc>
          <w:tcPr>
            <w:tcW w:w="2858" w:type="dxa"/>
            <w:gridSpan w:val="2"/>
            <w:tcBorders>
              <w:top w:val="single" w:color="auto" w:sz="4" w:space="0"/>
              <w:bottom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kern w:val="0"/>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1402" w:type="dxa"/>
            <w:vMerge w:val="continue"/>
            <w:vAlign w:val="center"/>
          </w:tcPr>
          <w:p>
            <w:pPr>
              <w:jc w:val="center"/>
              <w:rPr>
                <w:rFonts w:hint="eastAsia" w:ascii="宋体" w:hAnsi="宋体" w:eastAsia="宋体" w:cs="宋体"/>
                <w:sz w:val="18"/>
                <w:szCs w:val="18"/>
              </w:rPr>
            </w:pPr>
          </w:p>
        </w:tc>
        <w:tc>
          <w:tcPr>
            <w:tcW w:w="1205" w:type="dxa"/>
            <w:vMerge w:val="continue"/>
            <w:tcBorders>
              <w:right w:val="single" w:color="auto" w:sz="4" w:space="0"/>
            </w:tcBorders>
            <w:vAlign w:val="center"/>
          </w:tcPr>
          <w:p>
            <w:pPr>
              <w:jc w:val="center"/>
              <w:rPr>
                <w:rFonts w:hint="eastAsia" w:ascii="宋体" w:hAnsi="宋体" w:eastAsia="宋体" w:cs="宋体"/>
                <w:sz w:val="18"/>
                <w:szCs w:val="18"/>
              </w:rPr>
            </w:pPr>
          </w:p>
        </w:tc>
        <w:tc>
          <w:tcPr>
            <w:tcW w:w="1357" w:type="dxa"/>
            <w:vMerge w:val="continue"/>
            <w:tcBorders>
              <w:left w:val="single" w:color="auto" w:sz="4" w:space="0"/>
            </w:tcBorders>
            <w:vAlign w:val="center"/>
          </w:tcPr>
          <w:p>
            <w:pPr>
              <w:jc w:val="center"/>
              <w:rPr>
                <w:rFonts w:hint="eastAsia" w:ascii="宋体" w:hAnsi="宋体" w:eastAsia="宋体" w:cs="宋体"/>
                <w:sz w:val="18"/>
                <w:szCs w:val="18"/>
              </w:rPr>
            </w:pPr>
          </w:p>
        </w:tc>
        <w:tc>
          <w:tcPr>
            <w:tcW w:w="2607" w:type="dxa"/>
            <w:gridSpan w:val="2"/>
            <w:vAlign w:val="center"/>
          </w:tcPr>
          <w:p>
            <w:pPr>
              <w:jc w:val="left"/>
              <w:rPr>
                <w:rFonts w:hint="eastAsia" w:ascii="宋体" w:hAnsi="宋体" w:eastAsia="宋体" w:cs="宋体"/>
                <w:sz w:val="18"/>
                <w:szCs w:val="18"/>
                <w:lang w:eastAsia="zh-CN"/>
              </w:rPr>
            </w:pPr>
            <w:r>
              <w:rPr>
                <w:rFonts w:hint="eastAsia" w:ascii="宋体" w:hAnsi="宋体" w:eastAsia="宋体" w:cs="宋体"/>
                <w:sz w:val="18"/>
                <w:szCs w:val="18"/>
                <w:lang w:eastAsia="zh-CN"/>
              </w:rPr>
              <w:t>公用经费控制率</w:t>
            </w:r>
          </w:p>
        </w:tc>
        <w:tc>
          <w:tcPr>
            <w:tcW w:w="2858" w:type="dxa"/>
            <w:gridSpan w:val="2"/>
            <w:tcBorders>
              <w:top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kern w:val="0"/>
                <w:sz w:val="18"/>
                <w:szCs w:val="18"/>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1402" w:type="dxa"/>
            <w:vMerge w:val="continue"/>
            <w:vAlign w:val="center"/>
          </w:tcPr>
          <w:p>
            <w:pPr>
              <w:jc w:val="center"/>
              <w:rPr>
                <w:rFonts w:hint="eastAsia" w:ascii="宋体" w:hAnsi="宋体" w:eastAsia="宋体" w:cs="宋体"/>
                <w:sz w:val="18"/>
                <w:szCs w:val="18"/>
              </w:rPr>
            </w:pPr>
          </w:p>
        </w:tc>
        <w:tc>
          <w:tcPr>
            <w:tcW w:w="1205" w:type="dxa"/>
            <w:vMerge w:val="continue"/>
            <w:tcBorders>
              <w:right w:val="single" w:color="auto" w:sz="4" w:space="0"/>
            </w:tcBorders>
            <w:vAlign w:val="center"/>
          </w:tcPr>
          <w:p>
            <w:pPr>
              <w:jc w:val="center"/>
              <w:rPr>
                <w:rFonts w:hint="eastAsia" w:ascii="宋体" w:hAnsi="宋体" w:eastAsia="宋体" w:cs="宋体"/>
                <w:sz w:val="18"/>
                <w:szCs w:val="18"/>
              </w:rPr>
            </w:pPr>
          </w:p>
        </w:tc>
        <w:tc>
          <w:tcPr>
            <w:tcW w:w="1357" w:type="dxa"/>
            <w:vMerge w:val="restart"/>
            <w:tcBorders>
              <w:lef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lang w:eastAsia="zh-CN"/>
              </w:rPr>
              <w:t>成本</w:t>
            </w:r>
            <w:r>
              <w:rPr>
                <w:rFonts w:hint="eastAsia" w:ascii="宋体" w:hAnsi="宋体" w:eastAsia="宋体" w:cs="宋体"/>
                <w:sz w:val="18"/>
                <w:szCs w:val="18"/>
              </w:rPr>
              <w:t>指标</w:t>
            </w:r>
          </w:p>
        </w:tc>
        <w:tc>
          <w:tcPr>
            <w:tcW w:w="2607" w:type="dxa"/>
            <w:gridSpan w:val="2"/>
            <w:vAlign w:val="center"/>
          </w:tcPr>
          <w:p>
            <w:pPr>
              <w:jc w:val="left"/>
              <w:rPr>
                <w:rFonts w:hint="eastAsia" w:ascii="宋体" w:hAnsi="宋体" w:eastAsia="宋体" w:cs="宋体"/>
                <w:sz w:val="18"/>
                <w:szCs w:val="18"/>
                <w:lang w:eastAsia="zh-CN"/>
              </w:rPr>
            </w:pPr>
            <w:r>
              <w:rPr>
                <w:rFonts w:hint="eastAsia" w:ascii="宋体" w:hAnsi="宋体" w:eastAsia="宋体" w:cs="宋体"/>
                <w:sz w:val="18"/>
                <w:szCs w:val="18"/>
                <w:lang w:eastAsia="zh-CN"/>
              </w:rPr>
              <w:t>人员经费支出</w:t>
            </w:r>
          </w:p>
        </w:tc>
        <w:tc>
          <w:tcPr>
            <w:tcW w:w="2858" w:type="dxa"/>
            <w:gridSpan w:val="2"/>
            <w:vAlign w:val="center"/>
          </w:tcPr>
          <w:p>
            <w:pPr>
              <w:jc w:val="center"/>
              <w:rPr>
                <w:rFonts w:hint="eastAsia" w:ascii="宋体" w:hAnsi="宋体" w:eastAsia="宋体" w:cs="宋体"/>
                <w:sz w:val="18"/>
                <w:szCs w:val="18"/>
                <w:lang w:val="en-US" w:eastAsia="zh-CN"/>
              </w:rPr>
            </w:pPr>
            <w:r>
              <w:rPr>
                <w:rFonts w:hint="eastAsia" w:ascii="宋体" w:hAnsi="宋体" w:eastAsia="宋体" w:cs="宋体"/>
                <w:kern w:val="0"/>
                <w:sz w:val="18"/>
                <w:szCs w:val="18"/>
              </w:rPr>
              <w:t>≤</w:t>
            </w:r>
            <w:r>
              <w:rPr>
                <w:rFonts w:hint="eastAsia" w:ascii="宋体" w:hAnsi="宋体" w:eastAsia="宋体" w:cs="宋体"/>
                <w:kern w:val="0"/>
                <w:sz w:val="18"/>
                <w:szCs w:val="18"/>
                <w:lang w:val="en-US" w:eastAsia="zh-CN"/>
              </w:rPr>
              <w:t>1994.91万元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482" w:hRule="atLeast"/>
        </w:trPr>
        <w:tc>
          <w:tcPr>
            <w:tcW w:w="1402" w:type="dxa"/>
            <w:vMerge w:val="continue"/>
            <w:vAlign w:val="center"/>
          </w:tcPr>
          <w:p>
            <w:pPr>
              <w:jc w:val="center"/>
              <w:rPr>
                <w:rFonts w:hint="eastAsia" w:ascii="宋体" w:hAnsi="宋体" w:eastAsia="宋体" w:cs="宋体"/>
                <w:sz w:val="18"/>
                <w:szCs w:val="18"/>
              </w:rPr>
            </w:pPr>
          </w:p>
        </w:tc>
        <w:tc>
          <w:tcPr>
            <w:tcW w:w="1205" w:type="dxa"/>
            <w:vMerge w:val="continue"/>
            <w:tcBorders>
              <w:right w:val="single" w:color="auto" w:sz="4" w:space="0"/>
            </w:tcBorders>
            <w:vAlign w:val="center"/>
          </w:tcPr>
          <w:p>
            <w:pPr>
              <w:jc w:val="center"/>
              <w:rPr>
                <w:rFonts w:hint="eastAsia" w:ascii="宋体" w:hAnsi="宋体" w:eastAsia="宋体" w:cs="宋体"/>
                <w:sz w:val="18"/>
                <w:szCs w:val="18"/>
              </w:rPr>
            </w:pPr>
          </w:p>
        </w:tc>
        <w:tc>
          <w:tcPr>
            <w:tcW w:w="1357" w:type="dxa"/>
            <w:vMerge w:val="continue"/>
            <w:tcBorders>
              <w:left w:val="single" w:color="auto" w:sz="4" w:space="0"/>
            </w:tcBorders>
            <w:vAlign w:val="center"/>
          </w:tcPr>
          <w:p>
            <w:pPr>
              <w:jc w:val="center"/>
              <w:rPr>
                <w:rFonts w:hint="eastAsia" w:ascii="宋体" w:hAnsi="宋体" w:eastAsia="宋体" w:cs="宋体"/>
                <w:sz w:val="18"/>
                <w:szCs w:val="18"/>
              </w:rPr>
            </w:pPr>
          </w:p>
        </w:tc>
        <w:tc>
          <w:tcPr>
            <w:tcW w:w="2607" w:type="dxa"/>
            <w:gridSpan w:val="2"/>
            <w:vAlign w:val="center"/>
          </w:tcPr>
          <w:p>
            <w:pPr>
              <w:jc w:val="left"/>
              <w:rPr>
                <w:rFonts w:hint="eastAsia" w:ascii="宋体" w:hAnsi="宋体" w:eastAsia="宋体" w:cs="宋体"/>
                <w:sz w:val="18"/>
                <w:szCs w:val="18"/>
                <w:lang w:eastAsia="zh-CN"/>
              </w:rPr>
            </w:pPr>
            <w:r>
              <w:rPr>
                <w:rFonts w:hint="eastAsia" w:ascii="宋体" w:hAnsi="宋体" w:eastAsia="宋体" w:cs="宋体"/>
                <w:sz w:val="18"/>
                <w:szCs w:val="18"/>
                <w:lang w:eastAsia="zh-CN"/>
              </w:rPr>
              <w:t>公用经费支出</w:t>
            </w:r>
          </w:p>
        </w:tc>
        <w:tc>
          <w:tcPr>
            <w:tcW w:w="2858" w:type="dxa"/>
            <w:gridSpan w:val="2"/>
            <w:vAlign w:val="center"/>
          </w:tcPr>
          <w:p>
            <w:pPr>
              <w:jc w:val="center"/>
              <w:rPr>
                <w:rFonts w:hint="eastAsia" w:ascii="宋体" w:hAnsi="宋体" w:eastAsia="宋体" w:cs="宋体"/>
                <w:sz w:val="18"/>
                <w:szCs w:val="18"/>
                <w:lang w:val="en-US" w:eastAsia="zh-CN"/>
              </w:rPr>
            </w:pPr>
            <w:r>
              <w:rPr>
                <w:rFonts w:hint="eastAsia" w:ascii="宋体" w:hAnsi="宋体" w:eastAsia="宋体" w:cs="宋体"/>
                <w:kern w:val="0"/>
                <w:sz w:val="18"/>
                <w:szCs w:val="18"/>
              </w:rPr>
              <w:t>≤</w:t>
            </w:r>
            <w:r>
              <w:rPr>
                <w:rFonts w:hint="eastAsia" w:ascii="宋体" w:hAnsi="宋体" w:eastAsia="宋体" w:cs="宋体"/>
                <w:kern w:val="0"/>
                <w:sz w:val="18"/>
                <w:szCs w:val="18"/>
                <w:lang w:val="en-US" w:eastAsia="zh-CN"/>
              </w:rPr>
              <w:t>401.89</w:t>
            </w:r>
            <w:r>
              <w:rPr>
                <w:rFonts w:hint="eastAsia" w:ascii="宋体" w:hAnsi="宋体" w:eastAsia="宋体" w:cs="宋体"/>
                <w:sz w:val="18"/>
                <w:szCs w:val="18"/>
                <w:lang w:val="en-US" w:eastAsia="zh-CN"/>
              </w:rPr>
              <w:t>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0" w:hRule="atLeast"/>
        </w:trPr>
        <w:tc>
          <w:tcPr>
            <w:tcW w:w="1402" w:type="dxa"/>
            <w:vMerge w:val="continue"/>
            <w:vAlign w:val="center"/>
          </w:tcPr>
          <w:p>
            <w:pPr>
              <w:jc w:val="center"/>
              <w:rPr>
                <w:rFonts w:hint="eastAsia" w:ascii="宋体" w:hAnsi="宋体" w:eastAsia="宋体" w:cs="宋体"/>
                <w:sz w:val="18"/>
                <w:szCs w:val="18"/>
              </w:rPr>
            </w:pPr>
          </w:p>
        </w:tc>
        <w:tc>
          <w:tcPr>
            <w:tcW w:w="1205" w:type="dxa"/>
            <w:vMerge w:val="continue"/>
            <w:tcBorders>
              <w:right w:val="single" w:color="auto" w:sz="4" w:space="0"/>
            </w:tcBorders>
            <w:vAlign w:val="center"/>
          </w:tcPr>
          <w:p>
            <w:pPr>
              <w:jc w:val="center"/>
              <w:rPr>
                <w:rFonts w:hint="eastAsia" w:ascii="宋体" w:hAnsi="宋体" w:eastAsia="宋体" w:cs="宋体"/>
                <w:sz w:val="18"/>
                <w:szCs w:val="18"/>
              </w:rPr>
            </w:pPr>
          </w:p>
        </w:tc>
        <w:tc>
          <w:tcPr>
            <w:tcW w:w="1357" w:type="dxa"/>
            <w:tcBorders>
              <w:lef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lang w:eastAsia="zh-CN"/>
              </w:rPr>
              <w:t>时效</w:t>
            </w:r>
            <w:r>
              <w:rPr>
                <w:rFonts w:hint="eastAsia" w:ascii="宋体" w:hAnsi="宋体" w:eastAsia="宋体" w:cs="宋体"/>
                <w:sz w:val="18"/>
                <w:szCs w:val="18"/>
              </w:rPr>
              <w:t>指标</w:t>
            </w:r>
          </w:p>
        </w:tc>
        <w:tc>
          <w:tcPr>
            <w:tcW w:w="2607" w:type="dxa"/>
            <w:gridSpan w:val="2"/>
            <w:vAlign w:val="center"/>
          </w:tcPr>
          <w:p>
            <w:pPr>
              <w:jc w:val="left"/>
              <w:rPr>
                <w:rFonts w:hint="eastAsia" w:ascii="宋体" w:hAnsi="宋体" w:eastAsia="宋体" w:cs="宋体"/>
                <w:sz w:val="18"/>
                <w:szCs w:val="18"/>
                <w:lang w:eastAsia="zh-CN"/>
              </w:rPr>
            </w:pPr>
            <w:r>
              <w:rPr>
                <w:rFonts w:hint="eastAsia" w:ascii="宋体" w:hAnsi="宋体" w:eastAsia="宋体" w:cs="宋体"/>
                <w:kern w:val="0"/>
                <w:sz w:val="18"/>
                <w:szCs w:val="18"/>
                <w:lang w:eastAsia="zh-CN"/>
              </w:rPr>
              <w:t>完成单位职责</w:t>
            </w:r>
            <w:r>
              <w:rPr>
                <w:rFonts w:hint="eastAsia" w:ascii="宋体" w:hAnsi="宋体" w:eastAsia="宋体" w:cs="宋体"/>
                <w:kern w:val="0"/>
                <w:sz w:val="18"/>
                <w:szCs w:val="18"/>
              </w:rPr>
              <w:t>及上级</w:t>
            </w:r>
            <w:r>
              <w:rPr>
                <w:rFonts w:hint="eastAsia" w:ascii="宋体" w:hAnsi="宋体" w:eastAsia="宋体" w:cs="宋体"/>
                <w:kern w:val="0"/>
                <w:sz w:val="18"/>
                <w:szCs w:val="18"/>
                <w:lang w:eastAsia="zh-CN"/>
              </w:rPr>
              <w:t>部门</w:t>
            </w:r>
            <w:r>
              <w:rPr>
                <w:rFonts w:hint="eastAsia" w:ascii="宋体" w:hAnsi="宋体" w:eastAsia="宋体" w:cs="宋体"/>
                <w:kern w:val="0"/>
                <w:sz w:val="18"/>
                <w:szCs w:val="18"/>
              </w:rPr>
              <w:t>交办的各项任务时限</w:t>
            </w:r>
          </w:p>
        </w:tc>
        <w:tc>
          <w:tcPr>
            <w:tcW w:w="2858" w:type="dxa"/>
            <w:gridSpan w:val="2"/>
            <w:vAlign w:val="center"/>
          </w:tcPr>
          <w:p>
            <w:pPr>
              <w:jc w:val="center"/>
              <w:rPr>
                <w:rFonts w:hint="eastAsia" w:ascii="宋体" w:hAnsi="宋体" w:eastAsia="宋体" w:cs="宋体"/>
                <w:sz w:val="18"/>
                <w:szCs w:val="18"/>
              </w:rPr>
            </w:pPr>
            <w:r>
              <w:rPr>
                <w:rFonts w:hint="eastAsia" w:ascii="宋体" w:hAnsi="宋体" w:eastAsia="宋体" w:cs="宋体"/>
                <w:kern w:val="0"/>
                <w:sz w:val="18"/>
                <w:szCs w:val="18"/>
              </w:rPr>
              <w:t>年度内及时完成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72" w:hRule="atLeast"/>
        </w:trPr>
        <w:tc>
          <w:tcPr>
            <w:tcW w:w="1402" w:type="dxa"/>
            <w:vMerge w:val="continue"/>
            <w:vAlign w:val="center"/>
          </w:tcPr>
          <w:p>
            <w:pPr>
              <w:jc w:val="center"/>
              <w:rPr>
                <w:rFonts w:hint="eastAsia" w:ascii="宋体" w:hAnsi="宋体" w:eastAsia="宋体" w:cs="宋体"/>
                <w:sz w:val="18"/>
                <w:szCs w:val="18"/>
              </w:rPr>
            </w:pPr>
          </w:p>
        </w:tc>
        <w:tc>
          <w:tcPr>
            <w:tcW w:w="1205" w:type="dxa"/>
            <w:vMerge w:val="restart"/>
            <w:tcBorders>
              <w:righ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效益指标</w:t>
            </w:r>
          </w:p>
          <w:p>
            <w:pPr>
              <w:jc w:val="center"/>
              <w:rPr>
                <w:rFonts w:hint="eastAsia" w:ascii="宋体" w:hAnsi="宋体" w:eastAsia="宋体" w:cs="宋体"/>
                <w:sz w:val="18"/>
                <w:szCs w:val="18"/>
              </w:rPr>
            </w:pPr>
          </w:p>
        </w:tc>
        <w:tc>
          <w:tcPr>
            <w:tcW w:w="1357" w:type="dxa"/>
            <w:tcBorders>
              <w:left w:val="single" w:color="auto" w:sz="4" w:space="0"/>
            </w:tcBorders>
            <w:vAlign w:val="center"/>
          </w:tcPr>
          <w:p>
            <w:pPr>
              <w:jc w:val="center"/>
              <w:rPr>
                <w:rFonts w:hint="eastAsia" w:ascii="宋体" w:hAnsi="宋体" w:eastAsia="宋体" w:cs="宋体"/>
                <w:sz w:val="18"/>
                <w:szCs w:val="18"/>
              </w:rPr>
            </w:pPr>
            <w:r>
              <w:rPr>
                <w:rFonts w:hint="eastAsia" w:ascii="宋体" w:hAnsi="宋体" w:eastAsia="宋体" w:cs="宋体"/>
                <w:sz w:val="18"/>
                <w:szCs w:val="18"/>
              </w:rPr>
              <w:t>社会效益</w:t>
            </w:r>
            <w:r>
              <w:rPr>
                <w:rFonts w:hint="eastAsia" w:ascii="宋体" w:hAnsi="宋体" w:eastAsia="宋体" w:cs="宋体"/>
                <w:sz w:val="18"/>
                <w:szCs w:val="18"/>
                <w:lang w:val="en-US" w:eastAsia="zh-CN"/>
              </w:rPr>
              <w:t xml:space="preserve">   </w:t>
            </w:r>
            <w:r>
              <w:rPr>
                <w:rFonts w:hint="eastAsia" w:ascii="宋体" w:hAnsi="宋体" w:eastAsia="宋体" w:cs="宋体"/>
                <w:sz w:val="18"/>
                <w:szCs w:val="18"/>
              </w:rPr>
              <w:t>指标</w:t>
            </w:r>
          </w:p>
        </w:tc>
        <w:tc>
          <w:tcPr>
            <w:tcW w:w="2607" w:type="dxa"/>
            <w:gridSpan w:val="2"/>
            <w:vAlign w:val="center"/>
          </w:tcPr>
          <w:p>
            <w:pPr>
              <w:jc w:val="left"/>
              <w:rPr>
                <w:rFonts w:hint="eastAsia" w:ascii="宋体" w:hAnsi="宋体" w:eastAsia="宋体" w:cs="宋体"/>
                <w:sz w:val="18"/>
                <w:szCs w:val="18"/>
              </w:rPr>
            </w:pPr>
            <w:r>
              <w:rPr>
                <w:rFonts w:hint="eastAsia" w:ascii="宋体" w:hAnsi="宋体" w:eastAsia="宋体" w:cs="宋体"/>
                <w:b w:val="0"/>
                <w:bCs/>
                <w:sz w:val="18"/>
                <w:szCs w:val="18"/>
                <w:lang w:eastAsia="zh-CN"/>
              </w:rPr>
              <w:t>有效打击违法违规行为，营造良好市场环境，保护消费者权益</w:t>
            </w:r>
          </w:p>
        </w:tc>
        <w:tc>
          <w:tcPr>
            <w:tcW w:w="2858" w:type="dxa"/>
            <w:gridSpan w:val="2"/>
            <w:vAlign w:val="center"/>
          </w:tcPr>
          <w:p>
            <w:pPr>
              <w:jc w:val="center"/>
              <w:rPr>
                <w:rFonts w:hint="eastAsia" w:ascii="宋体" w:hAnsi="宋体" w:eastAsia="宋体" w:cs="宋体"/>
                <w:sz w:val="18"/>
                <w:szCs w:val="18"/>
              </w:rPr>
            </w:pPr>
            <w:r>
              <w:rPr>
                <w:rFonts w:hint="eastAsia" w:ascii="宋体" w:hAnsi="宋体" w:eastAsia="宋体" w:cs="宋体"/>
                <w:b w:val="0"/>
                <w:bCs/>
                <w:sz w:val="18"/>
                <w:szCs w:val="18"/>
                <w:lang w:eastAsia="zh-CN"/>
              </w:rPr>
              <w:t>持续向好</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50" w:hRule="atLeast"/>
        </w:trPr>
        <w:tc>
          <w:tcPr>
            <w:tcW w:w="1402" w:type="dxa"/>
            <w:vMerge w:val="continue"/>
            <w:vAlign w:val="center"/>
          </w:tcPr>
          <w:p>
            <w:pPr>
              <w:jc w:val="center"/>
              <w:rPr>
                <w:rFonts w:hint="eastAsia" w:ascii="宋体" w:hAnsi="宋体" w:eastAsia="宋体" w:cs="宋体"/>
                <w:sz w:val="18"/>
                <w:szCs w:val="18"/>
              </w:rPr>
            </w:pPr>
          </w:p>
        </w:tc>
        <w:tc>
          <w:tcPr>
            <w:tcW w:w="1205" w:type="dxa"/>
            <w:vMerge w:val="continue"/>
            <w:tcBorders>
              <w:right w:val="single" w:color="auto" w:sz="4" w:space="0"/>
            </w:tcBorders>
            <w:vAlign w:val="center"/>
          </w:tcPr>
          <w:p>
            <w:pPr>
              <w:jc w:val="center"/>
              <w:rPr>
                <w:rFonts w:hint="eastAsia" w:ascii="宋体" w:hAnsi="宋体" w:eastAsia="宋体" w:cs="宋体"/>
                <w:sz w:val="18"/>
                <w:szCs w:val="18"/>
              </w:rPr>
            </w:pPr>
          </w:p>
        </w:tc>
        <w:tc>
          <w:tcPr>
            <w:tcW w:w="1357" w:type="dxa"/>
            <w:tcBorders>
              <w:left w:val="single" w:color="auto" w:sz="4" w:space="0"/>
            </w:tcBorders>
            <w:vAlign w:val="center"/>
          </w:tcPr>
          <w:p>
            <w:pPr>
              <w:jc w:val="center"/>
              <w:rPr>
                <w:rFonts w:hint="eastAsia" w:ascii="宋体" w:hAnsi="宋体" w:eastAsia="宋体" w:cs="宋体"/>
                <w:sz w:val="18"/>
                <w:szCs w:val="18"/>
                <w:lang w:eastAsia="zh-CN"/>
              </w:rPr>
            </w:pPr>
            <w:r>
              <w:rPr>
                <w:rFonts w:hint="eastAsia" w:ascii="宋体" w:hAnsi="宋体" w:eastAsia="宋体" w:cs="宋体"/>
                <w:sz w:val="18"/>
                <w:szCs w:val="18"/>
                <w:lang w:eastAsia="zh-CN"/>
              </w:rPr>
              <w:t>社会公众或服务对象满意度</w:t>
            </w:r>
          </w:p>
        </w:tc>
        <w:tc>
          <w:tcPr>
            <w:tcW w:w="2607" w:type="dxa"/>
            <w:gridSpan w:val="2"/>
            <w:vAlign w:val="center"/>
          </w:tcPr>
          <w:p>
            <w:pPr>
              <w:jc w:val="left"/>
              <w:rPr>
                <w:rFonts w:hint="eastAsia" w:ascii="宋体" w:hAnsi="宋体" w:eastAsia="宋体" w:cs="宋体"/>
                <w:sz w:val="18"/>
                <w:szCs w:val="18"/>
                <w:lang w:eastAsia="zh-CN"/>
              </w:rPr>
            </w:pPr>
            <w:r>
              <w:rPr>
                <w:rFonts w:hint="eastAsia" w:ascii="宋体" w:hAnsi="宋体" w:eastAsia="宋体" w:cs="宋体"/>
                <w:sz w:val="18"/>
                <w:szCs w:val="18"/>
                <w:lang w:eastAsia="zh-CN"/>
              </w:rPr>
              <w:t>服务对象满意度</w:t>
            </w:r>
          </w:p>
        </w:tc>
        <w:tc>
          <w:tcPr>
            <w:tcW w:w="2858" w:type="dxa"/>
            <w:gridSpan w:val="2"/>
            <w:vAlign w:val="center"/>
          </w:tcPr>
          <w:p>
            <w:pPr>
              <w:jc w:val="center"/>
              <w:rPr>
                <w:rFonts w:hint="eastAsia" w:ascii="宋体" w:hAnsi="宋体" w:eastAsia="宋体" w:cs="宋体"/>
                <w:sz w:val="18"/>
                <w:szCs w:val="18"/>
                <w:lang w:val="en-US" w:eastAsia="zh-CN"/>
              </w:rPr>
            </w:pPr>
            <w:r>
              <w:rPr>
                <w:rFonts w:hint="eastAsia" w:ascii="宋体" w:hAnsi="宋体" w:eastAsia="宋体" w:cs="宋体"/>
                <w:sz w:val="18"/>
                <w:szCs w:val="18"/>
              </w:rPr>
              <w:t>≥</w:t>
            </w:r>
            <w:r>
              <w:rPr>
                <w:rFonts w:hint="eastAsia" w:ascii="宋体" w:hAnsi="宋体" w:eastAsia="宋体" w:cs="宋体"/>
                <w:sz w:val="18"/>
                <w:szCs w:val="18"/>
                <w:lang w:val="en-US" w:eastAsia="zh-CN"/>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59" w:hRule="atLeast"/>
        </w:trPr>
        <w:tc>
          <w:tcPr>
            <w:tcW w:w="7089" w:type="dxa"/>
            <w:gridSpan w:val="6"/>
            <w:tcBorders>
              <w:top w:val="nil"/>
              <w:left w:val="nil"/>
              <w:bottom w:val="nil"/>
              <w:right w:val="nil"/>
            </w:tcBorders>
            <w:vAlign w:val="center"/>
          </w:tcPr>
          <w:p>
            <w:pPr>
              <w:rPr>
                <w:rFonts w:hint="default"/>
                <w:lang w:val="en-US" w:eastAsia="zh-CN"/>
              </w:rPr>
            </w:pPr>
          </w:p>
        </w:tc>
        <w:tc>
          <w:tcPr>
            <w:tcW w:w="2340" w:type="dxa"/>
            <w:tcBorders>
              <w:left w:val="nil"/>
              <w:bottom w:val="nil"/>
              <w:right w:val="nil"/>
            </w:tcBorders>
            <w:vAlign w:val="center"/>
          </w:tcPr>
          <w:p>
            <w:pPr>
              <w:rPr>
                <w:rFonts w:hint="eastAsia"/>
              </w:rPr>
            </w:pPr>
          </w:p>
        </w:tc>
      </w:tr>
    </w:tbl>
    <w:p>
      <w:pPr>
        <w:tabs>
          <w:tab w:val="left" w:pos="6396"/>
        </w:tabs>
        <w:ind w:left="-619" w:leftChars="-295" w:firstLine="344" w:firstLineChars="164"/>
        <w:rPr>
          <w:rFonts w:hint="eastAsia" w:asciiTheme="majorEastAsia" w:hAnsiTheme="majorEastAsia" w:eastAsiaTheme="majorEastAsia" w:cstheme="majorEastAsia"/>
          <w:sz w:val="21"/>
          <w:szCs w:val="21"/>
          <w:lang w:val="en-US" w:eastAsia="zh-CN"/>
        </w:rPr>
      </w:pPr>
      <w:r>
        <w:rPr>
          <w:rFonts w:hint="eastAsia" w:asciiTheme="majorEastAsia" w:hAnsiTheme="majorEastAsia" w:eastAsiaTheme="majorEastAsia" w:cstheme="majorEastAsia"/>
          <w:sz w:val="21"/>
          <w:szCs w:val="21"/>
          <w:lang w:eastAsia="zh-CN"/>
        </w:rPr>
        <w:t>填表人</w:t>
      </w:r>
      <w:r>
        <w:rPr>
          <w:rFonts w:hint="eastAsia" w:asciiTheme="majorEastAsia" w:hAnsiTheme="majorEastAsia" w:eastAsiaTheme="majorEastAsia" w:cstheme="majorEastAsia"/>
          <w:sz w:val="21"/>
          <w:szCs w:val="21"/>
          <w:lang w:val="en-US" w:eastAsia="zh-CN"/>
        </w:rPr>
        <w:t>: 旷翠华  联系电话:           填报日期:2022年4月15日      单位负责人签字:</w:t>
      </w:r>
    </w:p>
    <w:p>
      <w:pPr>
        <w:tabs>
          <w:tab w:val="left" w:pos="6396"/>
        </w:tabs>
        <w:rPr>
          <w:rFonts w:hint="eastAsia" w:asciiTheme="majorEastAsia" w:hAnsiTheme="majorEastAsia" w:eastAsiaTheme="majorEastAsia" w:cstheme="majorEastAsia"/>
          <w:sz w:val="21"/>
          <w:szCs w:val="21"/>
          <w:lang w:val="en-US" w:eastAsia="zh-CN"/>
        </w:rPr>
      </w:pPr>
      <w:bookmarkStart w:id="0" w:name="_GoBack"/>
      <w:bookmarkEnd w:id="0"/>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E2D21F4"/>
    <w:multiLevelType w:val="singleLevel"/>
    <w:tmpl w:val="AE2D21F4"/>
    <w:lvl w:ilvl="0" w:tentative="0">
      <w:start w:val="1"/>
      <w:numFmt w:val="decimal"/>
      <w:lvlText w:val="%1."/>
      <w:lvlJc w:val="left"/>
      <w:pPr>
        <w:tabs>
          <w:tab w:val="left" w:pos="312"/>
        </w:tabs>
      </w:pPr>
    </w:lvl>
  </w:abstractNum>
  <w:abstractNum w:abstractNumId="1">
    <w:nsid w:val="05CE6ACA"/>
    <w:multiLevelType w:val="singleLevel"/>
    <w:tmpl w:val="05CE6ACA"/>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5E26C38"/>
    <w:rsid w:val="00BE2FF2"/>
    <w:rsid w:val="04E0031B"/>
    <w:rsid w:val="076E386F"/>
    <w:rsid w:val="0935527E"/>
    <w:rsid w:val="0B3749FF"/>
    <w:rsid w:val="0D4A5C8B"/>
    <w:rsid w:val="0E0827A8"/>
    <w:rsid w:val="17FF5B6F"/>
    <w:rsid w:val="186C16C7"/>
    <w:rsid w:val="1AB42DD7"/>
    <w:rsid w:val="1BE57E88"/>
    <w:rsid w:val="1CD32CC4"/>
    <w:rsid w:val="1CEA418F"/>
    <w:rsid w:val="22366F45"/>
    <w:rsid w:val="25E26C38"/>
    <w:rsid w:val="2B704C74"/>
    <w:rsid w:val="2BE634D1"/>
    <w:rsid w:val="35F001AB"/>
    <w:rsid w:val="3D8108BB"/>
    <w:rsid w:val="40454265"/>
    <w:rsid w:val="41541788"/>
    <w:rsid w:val="43962EDA"/>
    <w:rsid w:val="46BF6AF1"/>
    <w:rsid w:val="49021D44"/>
    <w:rsid w:val="499C7FCD"/>
    <w:rsid w:val="4DBE5EA9"/>
    <w:rsid w:val="4E632A50"/>
    <w:rsid w:val="51FE6917"/>
    <w:rsid w:val="58A570B3"/>
    <w:rsid w:val="59771477"/>
    <w:rsid w:val="5B0B1906"/>
    <w:rsid w:val="5DCD169C"/>
    <w:rsid w:val="5EAE5B66"/>
    <w:rsid w:val="5F6E3D0A"/>
    <w:rsid w:val="620B6B51"/>
    <w:rsid w:val="62234CDA"/>
    <w:rsid w:val="6CBD1E1F"/>
    <w:rsid w:val="71BD102D"/>
    <w:rsid w:val="738553E7"/>
    <w:rsid w:val="73E22BCE"/>
    <w:rsid w:val="74580D37"/>
    <w:rsid w:val="77B307E3"/>
    <w:rsid w:val="7BF92C58"/>
    <w:rsid w:val="7E5D70C0"/>
    <w:rsid w:val="7F1B5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Office_11.1.0.9208_F1E327BC-269C-435d-A152-05C5408002CA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Administrator</cp:lastModifiedBy>
  <cp:lastPrinted>2022-05-19T08:56:00Z</cp:lastPrinted>
  <dcterms:modified xsi:type="dcterms:W3CDTF">2022-05-30T01:08:04Z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2052-11.1.0.9208</vt:lpwstr>
  </property>
  <property fmtid="{D5CDD505-2E9C-101B-9397-08002B2CF9AE}" pid="3" name="ICV">
    <vt:lpwstr>7089030D5D65482C9F26FA8A8647C485</vt:lpwstr>
  </property>
</Properties>
</file>