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Arial" w:hAnsi="Arial" w:eastAsia="黑体" w:cs="Arial"/>
          <w:sz w:val="36"/>
          <w:szCs w:val="36"/>
          <w:lang w:val="en-US" w:eastAsia="zh-CN"/>
        </w:rPr>
      </w:pPr>
      <w:r>
        <w:rPr>
          <w:rFonts w:hint="eastAsia" w:ascii="Arial" w:hAnsi="Arial" w:eastAsia="黑体" w:cs="Arial"/>
          <w:sz w:val="36"/>
          <w:szCs w:val="36"/>
          <w:lang w:val="en-US" w:eastAsia="zh-CN"/>
        </w:rPr>
        <w:t>`</w:t>
      </w: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填报单位：（盖章）衡东县应急管理局</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541"/>
        <w:gridCol w:w="1246"/>
        <w:gridCol w:w="1039"/>
        <w:gridCol w:w="5"/>
        <w:gridCol w:w="231"/>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8"/>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衡东县应急管理局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8"/>
            <w:tcBorders>
              <w:top w:val="single" w:color="auto" w:sz="4" w:space="0"/>
            </w:tcBorders>
            <w:vAlign w:val="center"/>
          </w:tcPr>
          <w:p>
            <w:pPr>
              <w:jc w:val="left"/>
              <w:rPr>
                <w:rFonts w:hint="eastAsia" w:eastAsiaTheme="minorEastAsia"/>
                <w:sz w:val="18"/>
                <w:szCs w:val="18"/>
                <w:lang w:val="en-US" w:eastAsia="zh-CN"/>
              </w:rPr>
            </w:pPr>
            <w:r>
              <w:rPr>
                <w:rFonts w:hint="eastAsia"/>
                <w:sz w:val="18"/>
                <w:szCs w:val="18"/>
                <w:lang w:eastAsia="zh-CN"/>
              </w:rPr>
              <w:t>资金总额：</w:t>
            </w:r>
            <w:r>
              <w:rPr>
                <w:rFonts w:hint="eastAsia"/>
                <w:sz w:val="18"/>
                <w:szCs w:val="18"/>
                <w:lang w:val="en-US" w:eastAsia="zh-CN"/>
              </w:rPr>
              <w:t>1343.88万元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default"/>
                <w:sz w:val="18"/>
                <w:szCs w:val="18"/>
                <w:lang w:val="en-US"/>
              </w:rPr>
            </w:pPr>
            <w:r>
              <w:rPr>
                <w:rFonts w:hint="eastAsia"/>
                <w:sz w:val="18"/>
                <w:szCs w:val="18"/>
                <w:lang w:eastAsia="zh-CN"/>
              </w:rPr>
              <w:t>按收入性质分：</w:t>
            </w:r>
            <w:r>
              <w:rPr>
                <w:rFonts w:hint="eastAsia"/>
                <w:sz w:val="18"/>
                <w:szCs w:val="18"/>
                <w:lang w:val="en-US" w:eastAsia="zh-CN"/>
              </w:rPr>
              <w:t>1343.88万元</w:t>
            </w:r>
          </w:p>
        </w:tc>
        <w:tc>
          <w:tcPr>
            <w:tcW w:w="3679" w:type="dxa"/>
            <w:gridSpan w:val="5"/>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r>
              <w:rPr>
                <w:rFonts w:hint="eastAsia"/>
                <w:sz w:val="18"/>
                <w:szCs w:val="18"/>
                <w:lang w:val="en-US" w:eastAsia="zh-CN"/>
              </w:rPr>
              <w:t>1343.88万元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1279.88万元</w:t>
            </w:r>
          </w:p>
        </w:tc>
        <w:tc>
          <w:tcPr>
            <w:tcW w:w="3679" w:type="dxa"/>
            <w:gridSpan w:val="5"/>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885.48万元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5"/>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458.4万元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纳入专户管理的非税收入拨款：</w:t>
            </w:r>
            <w:r>
              <w:rPr>
                <w:rFonts w:hint="eastAsia"/>
                <w:sz w:val="18"/>
                <w:szCs w:val="18"/>
                <w:lang w:val="en-US" w:eastAsia="zh-CN"/>
              </w:rPr>
              <w:t>64万元</w:t>
            </w:r>
          </w:p>
        </w:tc>
        <w:tc>
          <w:tcPr>
            <w:tcW w:w="3679" w:type="dxa"/>
            <w:gridSpan w:val="5"/>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5"/>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8"/>
            <w:vAlign w:val="center"/>
          </w:tcPr>
          <w:p>
            <w:pPr>
              <w:jc w:val="both"/>
              <w:rPr>
                <w:rFonts w:hint="default" w:eastAsiaTheme="minorEastAsia"/>
                <w:sz w:val="18"/>
                <w:szCs w:val="18"/>
                <w:lang w:val="en-US" w:eastAsia="zh-CN"/>
              </w:rPr>
            </w:pPr>
            <w:r>
              <w:rPr>
                <w:rFonts w:hint="default" w:eastAsiaTheme="minorEastAsia"/>
                <w:sz w:val="18"/>
                <w:szCs w:val="18"/>
                <w:lang w:val="en-US" w:eastAsia="zh-CN"/>
              </w:rPr>
              <w:t>（一）负责应急管理工作，指导全县各乡镇各部门应对安全生产类、自然灾害类等突发事件和综合防灾减灾救灾工作。负责安全生产综合监督管理和权限内工矿商贸行业安全生产监督管理工作。</w:t>
            </w:r>
          </w:p>
          <w:p>
            <w:pPr>
              <w:jc w:val="both"/>
              <w:rPr>
                <w:rFonts w:hint="default" w:eastAsiaTheme="minorEastAsia"/>
                <w:sz w:val="18"/>
                <w:szCs w:val="18"/>
                <w:lang w:val="en-US" w:eastAsia="zh-CN"/>
              </w:rPr>
            </w:pPr>
            <w:r>
              <w:rPr>
                <w:rFonts w:hint="default" w:eastAsiaTheme="minorEastAsia"/>
                <w:sz w:val="18"/>
                <w:szCs w:val="18"/>
                <w:lang w:val="en-US" w:eastAsia="zh-CN"/>
              </w:rPr>
              <w:t>（二）贯彻实施相关法律法规、部门规章、规程和标准，组织编制全县应急体系建设、安全生产和综合防灾减灾规划，组织拟订相关规范性文件并监督实施。</w:t>
            </w:r>
          </w:p>
          <w:p>
            <w:pPr>
              <w:jc w:val="both"/>
              <w:rPr>
                <w:rFonts w:hint="default" w:eastAsiaTheme="minorEastAsia"/>
                <w:sz w:val="18"/>
                <w:szCs w:val="18"/>
                <w:lang w:val="en-US" w:eastAsia="zh-CN"/>
              </w:rPr>
            </w:pPr>
            <w:r>
              <w:rPr>
                <w:rFonts w:hint="default" w:eastAsiaTheme="minorEastAsia"/>
                <w:sz w:val="18"/>
                <w:szCs w:val="18"/>
                <w:lang w:val="en-US" w:eastAsia="zh-CN"/>
              </w:rPr>
              <w:t>（三）指导应急预案体系建设，建立完善事故灾难和自然灾害分级应对制度，组织编制衡东县总体应急预案和安全生产类、自然灾害类专项预案，综合协调应急预案衔接工作，组织开展预案演练，推动应急避难设施建设。</w:t>
            </w:r>
          </w:p>
          <w:p>
            <w:pPr>
              <w:jc w:val="both"/>
              <w:rPr>
                <w:rFonts w:hint="default" w:eastAsiaTheme="minorEastAsia"/>
                <w:sz w:val="18"/>
                <w:szCs w:val="18"/>
                <w:lang w:val="en-US" w:eastAsia="zh-CN"/>
              </w:rPr>
            </w:pPr>
            <w:r>
              <w:rPr>
                <w:rFonts w:hint="default" w:eastAsiaTheme="minorEastAsia"/>
                <w:sz w:val="18"/>
                <w:szCs w:val="18"/>
                <w:lang w:val="en-US" w:eastAsia="zh-CN"/>
              </w:rPr>
              <w:t>（四）牵头推进全县统一的应急管理信息系统建设，负责信息传输渠道的规划和布局，建立监测预警和灾情报告制度，健全自然灾害信息资源获取和共享机制，依法统一发布灾情。</w:t>
            </w:r>
          </w:p>
          <w:p>
            <w:pPr>
              <w:jc w:val="both"/>
              <w:rPr>
                <w:rFonts w:hint="default" w:eastAsiaTheme="minorEastAsia"/>
                <w:sz w:val="18"/>
                <w:szCs w:val="18"/>
                <w:lang w:val="en-US" w:eastAsia="zh-CN"/>
              </w:rPr>
            </w:pPr>
            <w:r>
              <w:rPr>
                <w:rFonts w:hint="default" w:eastAsiaTheme="minorEastAsia"/>
                <w:sz w:val="18"/>
                <w:szCs w:val="18"/>
                <w:lang w:val="en-US" w:eastAsia="zh-CN"/>
              </w:rPr>
              <w:t>（五）组织指导协调安全生产类、自然灾害类等突发事件应急救援，承担县应对较大及以上灾害指挥部的相关工作，综合研判突发事件发展态势并提出应对建议，协助县委、县政府指定的负责同志组织较大及以上灾害应急处置工作。</w:t>
            </w:r>
          </w:p>
          <w:p>
            <w:pPr>
              <w:jc w:val="both"/>
              <w:rPr>
                <w:rFonts w:hint="default" w:eastAsiaTheme="minorEastAsia"/>
                <w:sz w:val="18"/>
                <w:szCs w:val="18"/>
                <w:lang w:val="en-US" w:eastAsia="zh-CN"/>
              </w:rPr>
            </w:pPr>
            <w:r>
              <w:rPr>
                <w:rFonts w:hint="default" w:eastAsiaTheme="minorEastAsia"/>
                <w:sz w:val="18"/>
                <w:szCs w:val="18"/>
                <w:lang w:val="en-US" w:eastAsia="zh-CN"/>
              </w:rPr>
              <w:t>（六）统一协调指挥各类应急专业队伍，建立应急协调联动机制，推进指挥平台对接，负责做好解放军和武警部队参与应急救援相关衔接工作。</w:t>
            </w:r>
          </w:p>
          <w:p>
            <w:pPr>
              <w:jc w:val="both"/>
              <w:rPr>
                <w:rFonts w:hint="default" w:eastAsiaTheme="minorEastAsia"/>
                <w:sz w:val="18"/>
                <w:szCs w:val="18"/>
                <w:lang w:val="en-US" w:eastAsia="zh-CN"/>
              </w:rPr>
            </w:pPr>
            <w:r>
              <w:rPr>
                <w:rFonts w:hint="default" w:eastAsiaTheme="minorEastAsia"/>
                <w:sz w:val="18"/>
                <w:szCs w:val="18"/>
                <w:lang w:val="en-US" w:eastAsia="zh-CN"/>
              </w:rPr>
              <w:t>（七）统筹全县应急救援力量建设，负责消防、森林火灾扑救、抗洪抢险、地震和地质灾害救援、生产安全事故救援等专业应急救援力量建设，依权限管理综合性应急救援队伍，指导乡镇、部门、园区及社会应急救援力量建设工作。</w:t>
            </w:r>
          </w:p>
          <w:p>
            <w:pPr>
              <w:jc w:val="both"/>
              <w:rPr>
                <w:rFonts w:hint="default" w:eastAsiaTheme="minorEastAsia"/>
                <w:sz w:val="18"/>
                <w:szCs w:val="18"/>
                <w:lang w:val="en-US" w:eastAsia="zh-CN"/>
              </w:rPr>
            </w:pPr>
            <w:r>
              <w:rPr>
                <w:rFonts w:hint="default" w:eastAsiaTheme="minorEastAsia"/>
                <w:sz w:val="18"/>
                <w:szCs w:val="18"/>
                <w:lang w:val="en-US" w:eastAsia="zh-CN"/>
              </w:rPr>
              <w:t>（八）指导协调全县消防管理有关工作，指导乡镇、部门、园区消防监督、火灾预防、火灾扑救等工作。</w:t>
            </w:r>
          </w:p>
          <w:p>
            <w:pPr>
              <w:jc w:val="both"/>
              <w:rPr>
                <w:rFonts w:hint="default" w:eastAsiaTheme="minorEastAsia"/>
                <w:sz w:val="18"/>
                <w:szCs w:val="18"/>
                <w:lang w:val="en-US" w:eastAsia="zh-CN"/>
              </w:rPr>
            </w:pPr>
            <w:r>
              <w:rPr>
                <w:rFonts w:hint="default" w:eastAsiaTheme="minorEastAsia"/>
                <w:sz w:val="18"/>
                <w:szCs w:val="18"/>
                <w:lang w:val="en-US" w:eastAsia="zh-CN"/>
              </w:rPr>
              <w:t>（九）指导协调全县森林火灾、水旱灾害、地震和地质灾害等防治工作，负责自然灾害综合监测预警工作，指导开展自然灾害综合风险评估工作。</w:t>
            </w:r>
          </w:p>
          <w:p>
            <w:pPr>
              <w:jc w:val="both"/>
              <w:rPr>
                <w:rFonts w:hint="default" w:eastAsiaTheme="minorEastAsia"/>
                <w:sz w:val="18"/>
                <w:szCs w:val="18"/>
                <w:lang w:val="en-US" w:eastAsia="zh-CN"/>
              </w:rPr>
            </w:pPr>
            <w:r>
              <w:rPr>
                <w:rFonts w:hint="default" w:eastAsiaTheme="minorEastAsia"/>
                <w:sz w:val="18"/>
                <w:szCs w:val="18"/>
                <w:lang w:val="en-US" w:eastAsia="zh-CN"/>
              </w:rPr>
              <w:t>（十）组织协调灾害救助工作，组织指导灾情核查、损失评估、救灾捐赠工作，按权限管理、分配中央、省、市级下达和县级救灾款物并监督使用。</w:t>
            </w:r>
          </w:p>
          <w:p>
            <w:pPr>
              <w:jc w:val="both"/>
              <w:rPr>
                <w:rFonts w:hint="default" w:eastAsiaTheme="minorEastAsia"/>
                <w:sz w:val="18"/>
                <w:szCs w:val="18"/>
                <w:lang w:val="en-US" w:eastAsia="zh-CN"/>
              </w:rPr>
            </w:pPr>
            <w:r>
              <w:rPr>
                <w:rFonts w:hint="default" w:eastAsiaTheme="minorEastAsia"/>
                <w:sz w:val="18"/>
                <w:szCs w:val="18"/>
                <w:lang w:val="en-US" w:eastAsia="zh-CN"/>
              </w:rPr>
              <w:t>（十一）依法行使安全生产综合监督管理职权，指导协调、监督检查乡镇、部门及园区安全生产工作，组织开展安全生产巡查、考核工作。</w:t>
            </w:r>
          </w:p>
          <w:p>
            <w:pPr>
              <w:jc w:val="both"/>
              <w:rPr>
                <w:rFonts w:hint="default" w:eastAsiaTheme="minorEastAsia"/>
                <w:sz w:val="18"/>
                <w:szCs w:val="18"/>
                <w:lang w:val="en-US" w:eastAsia="zh-CN"/>
              </w:rPr>
            </w:pPr>
            <w:r>
              <w:rPr>
                <w:rFonts w:hint="default" w:eastAsiaTheme="minorEastAsia"/>
                <w:sz w:val="18"/>
                <w:szCs w:val="18"/>
                <w:lang w:val="en-US" w:eastAsia="zh-CN"/>
              </w:rPr>
              <w:t>（十二）按照分级、属地原则，依法监督检查权限内工矿商贸生产经营单位贯彻执行安全生产法律法规情况及其安全生产条件和有关设备（特种设备除外）、材料、劳动防护用品的安全生产管理工作。负责监督管理工矿商贸行业县属企业安全生产工作。依法组织和指导监督实施安全生产准入制度。负责危险化学品安全监督管理综合工作和烟花爆竹经营安全生产监督管理工作。</w:t>
            </w:r>
          </w:p>
          <w:p>
            <w:pPr>
              <w:jc w:val="both"/>
              <w:rPr>
                <w:rFonts w:hint="default" w:eastAsiaTheme="minorEastAsia"/>
                <w:sz w:val="18"/>
                <w:szCs w:val="18"/>
                <w:lang w:val="en-US" w:eastAsia="zh-CN"/>
              </w:rPr>
            </w:pPr>
            <w:r>
              <w:rPr>
                <w:rFonts w:hint="default" w:eastAsiaTheme="minorEastAsia"/>
                <w:sz w:val="18"/>
                <w:szCs w:val="18"/>
                <w:lang w:val="en-US" w:eastAsia="zh-CN"/>
              </w:rPr>
              <w:t>（十三）依法组织指导生产安全事故调查处理，监督事故查处和责任追究落实情况。组织开展自然灾害类突发事件的调查评估工作。</w:t>
            </w:r>
          </w:p>
          <w:p>
            <w:pPr>
              <w:jc w:val="both"/>
              <w:rPr>
                <w:rFonts w:hint="default" w:eastAsiaTheme="minorEastAsia"/>
                <w:sz w:val="18"/>
                <w:szCs w:val="18"/>
                <w:lang w:val="en-US" w:eastAsia="zh-CN"/>
              </w:rPr>
            </w:pPr>
            <w:r>
              <w:rPr>
                <w:rFonts w:hint="default" w:eastAsiaTheme="minorEastAsia"/>
                <w:sz w:val="18"/>
                <w:szCs w:val="18"/>
                <w:lang w:val="en-US" w:eastAsia="zh-CN"/>
              </w:rPr>
              <w:t>（十四）开展应急管理对外交流与合作，组织参与安全生产类、自然灾害类等突发事件的对外救援工作。</w:t>
            </w:r>
          </w:p>
          <w:p>
            <w:pPr>
              <w:jc w:val="both"/>
              <w:rPr>
                <w:rFonts w:hint="default" w:eastAsiaTheme="minorEastAsia"/>
                <w:sz w:val="18"/>
                <w:szCs w:val="18"/>
                <w:lang w:val="en-US" w:eastAsia="zh-CN"/>
              </w:rPr>
            </w:pPr>
            <w:r>
              <w:rPr>
                <w:rFonts w:hint="default" w:eastAsiaTheme="minorEastAsia"/>
                <w:sz w:val="18"/>
                <w:szCs w:val="18"/>
                <w:lang w:val="en-US" w:eastAsia="zh-CN"/>
              </w:rPr>
              <w:t>（十五）制定全县应急物资储备和应急救援装备规划并组织实施，会同县商务和粮食局等部门建立健全应急物资信息平台和调拨制度，在救灾时统一调度。</w:t>
            </w:r>
          </w:p>
          <w:p>
            <w:pPr>
              <w:jc w:val="both"/>
              <w:rPr>
                <w:rFonts w:hint="default" w:eastAsiaTheme="minorEastAsia"/>
                <w:sz w:val="18"/>
                <w:szCs w:val="18"/>
                <w:lang w:val="en-US" w:eastAsia="zh-CN"/>
              </w:rPr>
            </w:pPr>
            <w:r>
              <w:rPr>
                <w:rFonts w:hint="default" w:eastAsiaTheme="minorEastAsia"/>
                <w:sz w:val="18"/>
                <w:szCs w:val="18"/>
                <w:lang w:val="en-US" w:eastAsia="zh-CN"/>
              </w:rPr>
              <w:t>（十六）负责应急管理、安全生产宣传教育和培训工作，组织指导应急管理、安全生产的科学技术研究、推广应用和信息化建设工作。</w:t>
            </w:r>
          </w:p>
          <w:p>
            <w:pPr>
              <w:jc w:val="both"/>
              <w:rPr>
                <w:rFonts w:hint="default" w:eastAsiaTheme="minorEastAsia"/>
                <w:sz w:val="18"/>
                <w:szCs w:val="18"/>
                <w:lang w:val="en-US" w:eastAsia="zh-CN"/>
              </w:rPr>
            </w:pPr>
            <w:r>
              <w:rPr>
                <w:rFonts w:hint="default" w:eastAsiaTheme="minorEastAsia"/>
                <w:sz w:val="18"/>
                <w:szCs w:val="18"/>
                <w:lang w:val="en-US" w:eastAsia="zh-CN"/>
              </w:rPr>
              <w:t>（十七）承担县防汛抗旱指挥部日常工作，协调县防汛抗旱指挥部成员单位的相关工作，组织执行国家防汛抗旱总指挥部、相关流域防汛抗旱指挥机构和省、市防汛抗旱指挥部的指示、命令。</w:t>
            </w:r>
          </w:p>
          <w:p>
            <w:pPr>
              <w:jc w:val="both"/>
              <w:rPr>
                <w:rFonts w:hint="default" w:eastAsiaTheme="minorEastAsia"/>
                <w:sz w:val="18"/>
                <w:szCs w:val="18"/>
                <w:lang w:val="en-US" w:eastAsia="zh-CN"/>
              </w:rPr>
            </w:pPr>
            <w:r>
              <w:rPr>
                <w:rFonts w:hint="default" w:eastAsiaTheme="minorEastAsia"/>
                <w:sz w:val="18"/>
                <w:szCs w:val="18"/>
                <w:lang w:val="en-US" w:eastAsia="zh-CN"/>
              </w:rPr>
              <w:t>（十八）完成县委、县政府交办的其他任务。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8"/>
            <w:vAlign w:val="center"/>
          </w:tcPr>
          <w:p>
            <w:pPr>
              <w:jc w:val="center"/>
              <w:rPr>
                <w:rFonts w:hint="eastAsia"/>
                <w:sz w:val="18"/>
                <w:szCs w:val="18"/>
              </w:rPr>
            </w:pPr>
            <w:r>
              <w:rPr>
                <w:rFonts w:hint="eastAsia"/>
                <w:sz w:val="18"/>
                <w:szCs w:val="18"/>
              </w:rPr>
              <w:t>通过预算执行，保障单位履职、运转。积极推进项目建设，充分发挥管理、服务、协调作用，收集信息提出建议，为县委、县</w:t>
            </w:r>
            <w:bookmarkStart w:id="0" w:name="_GoBack"/>
            <w:bookmarkEnd w:id="0"/>
            <w:r>
              <w:rPr>
                <w:rFonts w:hint="eastAsia"/>
                <w:sz w:val="18"/>
                <w:szCs w:val="18"/>
              </w:rPr>
              <w:t>政府提供决策参考依据。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541"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285"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4"/>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541"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285" w:type="dxa"/>
            <w:gridSpan w:val="2"/>
            <w:tcBorders>
              <w:right w:val="single" w:color="auto" w:sz="4" w:space="0"/>
            </w:tcBorders>
            <w:vAlign w:val="center"/>
          </w:tcPr>
          <w:p>
            <w:pPr>
              <w:jc w:val="center"/>
              <w:rPr>
                <w:rFonts w:hint="eastAsia" w:ascii="宋体" w:hAnsi="宋体" w:eastAsia="宋体" w:cs="宋体"/>
                <w:sz w:val="15"/>
                <w:szCs w:val="15"/>
              </w:rPr>
            </w:pPr>
            <w:r>
              <w:rPr>
                <w:rFonts w:hint="eastAsia" w:ascii="宋体" w:hAnsi="宋体" w:eastAsia="宋体" w:cs="宋体"/>
                <w:sz w:val="15"/>
                <w:szCs w:val="15"/>
              </w:rPr>
              <w:t>财政供养人员</w:t>
            </w:r>
          </w:p>
        </w:tc>
        <w:tc>
          <w:tcPr>
            <w:tcW w:w="236" w:type="dxa"/>
            <w:gridSpan w:val="2"/>
            <w:tcBorders>
              <w:left w:val="single" w:color="auto" w:sz="4" w:space="0"/>
              <w:right w:val="nil"/>
            </w:tcBorders>
            <w:vAlign w:val="center"/>
          </w:tcPr>
          <w:p>
            <w:pPr>
              <w:jc w:val="center"/>
              <w:rPr>
                <w:rFonts w:hint="eastAsia"/>
                <w:sz w:val="18"/>
                <w:szCs w:val="18"/>
              </w:rPr>
            </w:pPr>
          </w:p>
        </w:tc>
        <w:tc>
          <w:tcPr>
            <w:tcW w:w="2404" w:type="dxa"/>
            <w:gridSpan w:val="2"/>
            <w:tcBorders>
              <w:top w:val="nil"/>
              <w:left w:val="nil"/>
              <w:right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75人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rPr>
            </w:pPr>
          </w:p>
        </w:tc>
        <w:tc>
          <w:tcPr>
            <w:tcW w:w="2290" w:type="dxa"/>
            <w:gridSpan w:val="3"/>
            <w:tcBorders>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5"/>
                <w:szCs w:val="15"/>
              </w:rPr>
              <w:t>部门单位履职、运转</w:t>
            </w:r>
          </w:p>
        </w:tc>
        <w:tc>
          <w:tcPr>
            <w:tcW w:w="2635" w:type="dxa"/>
            <w:gridSpan w:val="3"/>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285" w:type="dxa"/>
            <w:gridSpan w:val="2"/>
            <w:tcBorders>
              <w:right w:val="single" w:color="auto" w:sz="4" w:space="0"/>
            </w:tcBorders>
            <w:vAlign w:val="center"/>
          </w:tcPr>
          <w:p>
            <w:pPr>
              <w:jc w:val="center"/>
              <w:rPr>
                <w:rFonts w:hint="eastAsia" w:ascii="宋体" w:hAnsi="宋体" w:eastAsia="宋体" w:cs="宋体"/>
                <w:sz w:val="15"/>
                <w:szCs w:val="15"/>
              </w:rPr>
            </w:pPr>
            <w:r>
              <w:rPr>
                <w:rFonts w:hint="eastAsia" w:ascii="宋体" w:hAnsi="宋体" w:eastAsia="宋体" w:cs="宋体"/>
                <w:sz w:val="15"/>
                <w:szCs w:val="15"/>
              </w:rPr>
              <w:t>在职人员控制率</w:t>
            </w:r>
          </w:p>
        </w:tc>
        <w:tc>
          <w:tcPr>
            <w:tcW w:w="2640" w:type="dxa"/>
            <w:gridSpan w:val="4"/>
            <w:tcBorders>
              <w:top w:val="single" w:color="auto" w:sz="4" w:space="0"/>
              <w:left w:val="single" w:color="auto" w:sz="4" w:space="0"/>
              <w:bottom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rPr>
            </w:pPr>
          </w:p>
        </w:tc>
        <w:tc>
          <w:tcPr>
            <w:tcW w:w="2285" w:type="dxa"/>
            <w:gridSpan w:val="2"/>
            <w:tcBorders>
              <w:right w:val="single" w:color="auto" w:sz="4" w:space="0"/>
            </w:tcBorders>
            <w:vAlign w:val="center"/>
          </w:tcPr>
          <w:p>
            <w:pPr>
              <w:jc w:val="center"/>
              <w:rPr>
                <w:rFonts w:hint="eastAsia" w:ascii="宋体" w:hAnsi="宋体" w:eastAsia="宋体" w:cs="宋体"/>
                <w:sz w:val="15"/>
                <w:szCs w:val="15"/>
              </w:rPr>
            </w:pPr>
            <w:r>
              <w:rPr>
                <w:rFonts w:hint="eastAsia" w:ascii="宋体" w:hAnsi="宋体" w:eastAsia="宋体" w:cs="宋体"/>
                <w:sz w:val="15"/>
                <w:szCs w:val="15"/>
              </w:rPr>
              <w:t>公用经费控制率</w:t>
            </w:r>
          </w:p>
        </w:tc>
        <w:tc>
          <w:tcPr>
            <w:tcW w:w="2640" w:type="dxa"/>
            <w:gridSpan w:val="4"/>
            <w:tcBorders>
              <w:top w:val="single" w:color="auto" w:sz="4" w:space="0"/>
              <w:left w:val="single" w:color="auto" w:sz="4" w:space="0"/>
              <w:bottom w:val="single" w:color="auto" w:sz="4" w:space="0"/>
            </w:tcBorders>
            <w:vAlign w:val="center"/>
          </w:tcPr>
          <w:p>
            <w:pPr>
              <w:jc w:val="center"/>
              <w:rPr>
                <w:rFonts w:hint="eastAsia"/>
                <w:sz w:val="18"/>
                <w:szCs w:val="18"/>
                <w:lang w:val="en-US" w:eastAsia="zh-CN"/>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6"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rPr>
            </w:pPr>
          </w:p>
        </w:tc>
        <w:tc>
          <w:tcPr>
            <w:tcW w:w="2290" w:type="dxa"/>
            <w:gridSpan w:val="3"/>
            <w:tcBorders>
              <w:right w:val="single" w:color="auto" w:sz="4" w:space="0"/>
            </w:tcBorders>
            <w:vAlign w:val="center"/>
          </w:tcPr>
          <w:p>
            <w:pPr>
              <w:jc w:val="center"/>
              <w:rPr>
                <w:rFonts w:hint="eastAsia" w:eastAsiaTheme="minorEastAsia"/>
                <w:sz w:val="18"/>
                <w:szCs w:val="18"/>
                <w:lang w:eastAsia="zh-CN"/>
              </w:rPr>
            </w:pPr>
            <w:r>
              <w:rPr>
                <w:rFonts w:hint="eastAsia"/>
                <w:sz w:val="15"/>
                <w:szCs w:val="15"/>
                <w:lang w:eastAsia="zh-CN"/>
              </w:rPr>
              <w:t>岗位津贴覆盖率</w:t>
            </w:r>
          </w:p>
        </w:tc>
        <w:tc>
          <w:tcPr>
            <w:tcW w:w="2635" w:type="dxa"/>
            <w:gridSpan w:val="3"/>
            <w:tcBorders>
              <w:left w:val="single" w:color="auto" w:sz="4" w:space="0"/>
            </w:tcBorders>
            <w:vAlign w:val="center"/>
          </w:tcPr>
          <w:p>
            <w:pPr>
              <w:jc w:val="center"/>
              <w:rPr>
                <w:rFonts w:hint="eastAsia" w:ascii="宋体" w:hAnsi="宋体" w:eastAsia="宋体" w:cs="宋体"/>
                <w:sz w:val="15"/>
                <w:szCs w:val="15"/>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285" w:type="dxa"/>
            <w:gridSpan w:val="2"/>
            <w:vAlign w:val="center"/>
          </w:tcPr>
          <w:p>
            <w:pPr>
              <w:jc w:val="center"/>
              <w:rPr>
                <w:rFonts w:hint="eastAsia" w:ascii="宋体" w:hAnsi="宋体" w:eastAsia="宋体" w:cs="宋体"/>
                <w:sz w:val="15"/>
                <w:szCs w:val="15"/>
              </w:rPr>
            </w:pPr>
            <w:r>
              <w:rPr>
                <w:rFonts w:hint="eastAsia" w:ascii="宋体" w:hAnsi="宋体" w:eastAsia="宋体" w:cs="宋体"/>
                <w:sz w:val="15"/>
                <w:szCs w:val="15"/>
              </w:rPr>
              <w:t>人员经费控制额</w:t>
            </w:r>
          </w:p>
        </w:tc>
        <w:tc>
          <w:tcPr>
            <w:tcW w:w="2640" w:type="dxa"/>
            <w:gridSpan w:val="4"/>
            <w:vAlign w:val="center"/>
          </w:tcPr>
          <w:p>
            <w:pPr>
              <w:jc w:val="center"/>
              <w:rPr>
                <w:rFonts w:hint="default" w:eastAsiaTheme="minorEastAsia"/>
                <w:sz w:val="15"/>
                <w:szCs w:val="15"/>
                <w:lang w:val="en-US" w:eastAsia="zh-CN"/>
              </w:rPr>
            </w:pPr>
            <w:r>
              <w:rPr>
                <w:rFonts w:hint="eastAsia"/>
                <w:sz w:val="15"/>
                <w:szCs w:val="15"/>
                <w:lang w:val="en-US" w:eastAsia="zh-CN"/>
              </w:rPr>
              <w:t>≤759.34万元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lang w:eastAsia="zh-CN"/>
              </w:rPr>
            </w:pPr>
          </w:p>
        </w:tc>
        <w:tc>
          <w:tcPr>
            <w:tcW w:w="2285" w:type="dxa"/>
            <w:gridSpan w:val="2"/>
            <w:vAlign w:val="center"/>
          </w:tcPr>
          <w:p>
            <w:pPr>
              <w:jc w:val="center"/>
              <w:rPr>
                <w:rFonts w:hint="eastAsia" w:ascii="宋体" w:hAnsi="宋体" w:eastAsia="宋体" w:cs="宋体"/>
                <w:sz w:val="15"/>
                <w:szCs w:val="15"/>
              </w:rPr>
            </w:pPr>
            <w:r>
              <w:rPr>
                <w:rFonts w:hint="eastAsia" w:ascii="宋体" w:hAnsi="宋体" w:eastAsia="宋体" w:cs="宋体"/>
                <w:sz w:val="15"/>
                <w:szCs w:val="15"/>
              </w:rPr>
              <w:t>公用经费控制额</w:t>
            </w:r>
          </w:p>
        </w:tc>
        <w:tc>
          <w:tcPr>
            <w:tcW w:w="2640" w:type="dxa"/>
            <w:gridSpan w:val="4"/>
            <w:vAlign w:val="center"/>
          </w:tcPr>
          <w:p>
            <w:pPr>
              <w:jc w:val="center"/>
              <w:rPr>
                <w:rFonts w:hint="default" w:eastAsiaTheme="minorEastAsia"/>
                <w:sz w:val="15"/>
                <w:szCs w:val="15"/>
                <w:lang w:val="en-US" w:eastAsia="zh-CN"/>
              </w:rPr>
            </w:pPr>
            <w:r>
              <w:rPr>
                <w:rFonts w:hint="eastAsia"/>
                <w:sz w:val="15"/>
                <w:szCs w:val="15"/>
                <w:lang w:val="en-US" w:eastAsia="zh-CN"/>
              </w:rPr>
              <w:t>≤126.14万元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285" w:type="dxa"/>
            <w:gridSpan w:val="2"/>
            <w:tcBorders>
              <w:right w:val="single" w:color="auto" w:sz="4" w:space="0"/>
            </w:tcBorders>
            <w:vAlign w:val="center"/>
          </w:tcPr>
          <w:p>
            <w:pPr>
              <w:jc w:val="center"/>
              <w:rPr>
                <w:rFonts w:hint="eastAsia" w:ascii="宋体" w:hAnsi="宋体" w:eastAsia="宋体" w:cs="宋体"/>
                <w:sz w:val="15"/>
                <w:szCs w:val="15"/>
              </w:rPr>
            </w:pPr>
            <w:r>
              <w:rPr>
                <w:rFonts w:hint="eastAsia" w:ascii="宋体" w:hAnsi="宋体" w:eastAsia="宋体" w:cs="宋体"/>
                <w:sz w:val="15"/>
                <w:szCs w:val="15"/>
              </w:rPr>
              <w:t>本单位财政供养人员</w:t>
            </w:r>
          </w:p>
        </w:tc>
        <w:tc>
          <w:tcPr>
            <w:tcW w:w="2640" w:type="dxa"/>
            <w:gridSpan w:val="4"/>
            <w:tcBorders>
              <w:left w:val="single" w:color="auto" w:sz="4" w:space="0"/>
            </w:tcBorders>
            <w:vAlign w:val="center"/>
          </w:tcPr>
          <w:p>
            <w:pPr>
              <w:jc w:val="center"/>
              <w:rPr>
                <w:rFonts w:hint="eastAsia"/>
                <w:sz w:val="18"/>
                <w:szCs w:val="18"/>
              </w:rPr>
            </w:pPr>
            <w:r>
              <w:rPr>
                <w:rFonts w:hint="eastAsia"/>
                <w:sz w:val="18"/>
                <w:szCs w:val="18"/>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1"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lang w:eastAsia="zh-CN"/>
              </w:rPr>
            </w:pPr>
          </w:p>
        </w:tc>
        <w:tc>
          <w:tcPr>
            <w:tcW w:w="2290" w:type="dxa"/>
            <w:gridSpan w:val="3"/>
            <w:tcBorders>
              <w:right w:val="single" w:color="auto" w:sz="4" w:space="0"/>
            </w:tcBorders>
            <w:vAlign w:val="center"/>
          </w:tcPr>
          <w:p>
            <w:pPr>
              <w:jc w:val="center"/>
              <w:rPr>
                <w:rFonts w:hint="eastAsia"/>
                <w:sz w:val="18"/>
                <w:szCs w:val="18"/>
              </w:rPr>
            </w:pPr>
            <w:r>
              <w:rPr>
                <w:rFonts w:hint="eastAsia" w:ascii="宋体" w:hAnsi="宋体" w:eastAsia="宋体" w:cs="宋体"/>
                <w:sz w:val="15"/>
                <w:szCs w:val="15"/>
              </w:rPr>
              <w:t>完成单位职责及上级交办的各项任务时限</w:t>
            </w:r>
          </w:p>
        </w:tc>
        <w:tc>
          <w:tcPr>
            <w:tcW w:w="2635" w:type="dxa"/>
            <w:gridSpan w:val="3"/>
            <w:tcBorders>
              <w:left w:val="single" w:color="auto" w:sz="4" w:space="0"/>
            </w:tcBorders>
            <w:vAlign w:val="center"/>
          </w:tcPr>
          <w:p>
            <w:pPr>
              <w:jc w:val="center"/>
              <w:rPr>
                <w:rFonts w:hint="eastAsia" w:ascii="宋体" w:hAnsi="宋体" w:eastAsia="宋体" w:cs="宋体"/>
                <w:sz w:val="15"/>
                <w:szCs w:val="15"/>
              </w:rPr>
            </w:pPr>
            <w:r>
              <w:rPr>
                <w:rFonts w:hint="eastAsia"/>
                <w:sz w:val="18"/>
                <w:szCs w:val="18"/>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社会效益</w:t>
            </w:r>
            <w:r>
              <w:rPr>
                <w:rFonts w:hint="eastAsia"/>
                <w:sz w:val="18"/>
                <w:szCs w:val="18"/>
              </w:rPr>
              <w:t>指标</w:t>
            </w:r>
          </w:p>
        </w:tc>
        <w:tc>
          <w:tcPr>
            <w:tcW w:w="2285" w:type="dxa"/>
            <w:gridSpan w:val="2"/>
            <w:tcBorders>
              <w:bottom w:val="single" w:color="auto" w:sz="4" w:space="0"/>
            </w:tcBorders>
            <w:vAlign w:val="center"/>
          </w:tcPr>
          <w:p>
            <w:pPr>
              <w:jc w:val="center"/>
              <w:rPr>
                <w:rFonts w:hint="eastAsia" w:ascii="宋体" w:hAnsi="宋体" w:eastAsia="宋体" w:cs="宋体"/>
                <w:sz w:val="15"/>
                <w:szCs w:val="15"/>
                <w:lang w:eastAsia="zh-CN"/>
              </w:rPr>
            </w:pPr>
            <w:r>
              <w:rPr>
                <w:rFonts w:hint="eastAsia" w:ascii="宋体" w:hAnsi="宋体" w:eastAsia="宋体" w:cs="宋体"/>
                <w:sz w:val="15"/>
                <w:szCs w:val="15"/>
                <w:lang w:eastAsia="zh-CN"/>
              </w:rPr>
              <w:t>提供就业岗位</w:t>
            </w:r>
          </w:p>
        </w:tc>
        <w:tc>
          <w:tcPr>
            <w:tcW w:w="2640" w:type="dxa"/>
            <w:gridSpan w:val="4"/>
            <w:tcBorders>
              <w:bottom w:val="single" w:color="auto" w:sz="4" w:space="0"/>
            </w:tcBorders>
            <w:vAlign w:val="center"/>
          </w:tcPr>
          <w:p>
            <w:pPr>
              <w:jc w:val="center"/>
              <w:rPr>
                <w:rFonts w:hint="default" w:eastAsiaTheme="minorEastAsia"/>
                <w:sz w:val="18"/>
                <w:szCs w:val="18"/>
                <w:lang w:val="en-US" w:eastAsia="zh-CN"/>
              </w:rPr>
            </w:pPr>
            <w:r>
              <w:rPr>
                <w:rFonts w:hint="eastAsia"/>
                <w:sz w:val="18"/>
                <w:szCs w:val="18"/>
                <w:lang w:val="en-US" w:eastAsia="zh-CN"/>
              </w:rPr>
              <w:t>50个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vMerge w:val="continue"/>
            <w:tcBorders>
              <w:left w:val="single" w:color="auto" w:sz="4" w:space="0"/>
            </w:tcBorders>
            <w:vAlign w:val="center"/>
          </w:tcPr>
          <w:p>
            <w:pPr>
              <w:jc w:val="center"/>
              <w:rPr>
                <w:rFonts w:hint="eastAsia"/>
                <w:sz w:val="18"/>
                <w:szCs w:val="18"/>
                <w:lang w:eastAsia="zh-CN"/>
              </w:rPr>
            </w:pPr>
          </w:p>
        </w:tc>
        <w:tc>
          <w:tcPr>
            <w:tcW w:w="2285" w:type="dxa"/>
            <w:gridSpan w:val="2"/>
            <w:tcBorders>
              <w:top w:val="single" w:color="auto" w:sz="4" w:space="0"/>
            </w:tcBorders>
            <w:vAlign w:val="center"/>
          </w:tcPr>
          <w:p>
            <w:pPr>
              <w:jc w:val="center"/>
              <w:rPr>
                <w:rFonts w:hint="eastAsia" w:ascii="宋体" w:hAnsi="宋体" w:eastAsia="宋体" w:cs="宋体"/>
                <w:sz w:val="15"/>
                <w:szCs w:val="15"/>
                <w:lang w:eastAsia="zh-CN"/>
              </w:rPr>
            </w:pPr>
            <w:r>
              <w:rPr>
                <w:rFonts w:hint="eastAsia" w:ascii="宋体" w:hAnsi="宋体" w:eastAsia="宋体" w:cs="宋体"/>
                <w:sz w:val="15"/>
                <w:szCs w:val="15"/>
                <w:lang w:eastAsia="zh-CN"/>
              </w:rPr>
              <w:t>安全生产事故下降率</w:t>
            </w:r>
          </w:p>
        </w:tc>
        <w:tc>
          <w:tcPr>
            <w:tcW w:w="2640" w:type="dxa"/>
            <w:gridSpan w:val="4"/>
            <w:tcBorders>
              <w:top w:val="single" w:color="auto" w:sz="4" w:space="0"/>
            </w:tcBorders>
            <w:vAlign w:val="center"/>
          </w:tcPr>
          <w:p>
            <w:pPr>
              <w:jc w:val="center"/>
              <w:rPr>
                <w:rFonts w:hint="eastAsia"/>
                <w:sz w:val="18"/>
                <w:szCs w:val="18"/>
              </w:rPr>
            </w:pPr>
            <w:r>
              <w:rPr>
                <w:rFonts w:hint="eastAsia"/>
                <w:sz w:val="18"/>
                <w:szCs w:val="18"/>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tcBorders>
              <w:left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可持续影响指标</w:t>
            </w:r>
          </w:p>
        </w:tc>
        <w:tc>
          <w:tcPr>
            <w:tcW w:w="2285" w:type="dxa"/>
            <w:gridSpan w:val="2"/>
            <w:vAlign w:val="center"/>
          </w:tcPr>
          <w:p>
            <w:pPr>
              <w:jc w:val="center"/>
              <w:rPr>
                <w:rFonts w:hint="eastAsia" w:ascii="宋体" w:hAnsi="宋体" w:eastAsia="宋体" w:cs="宋体"/>
                <w:sz w:val="15"/>
                <w:szCs w:val="15"/>
                <w:lang w:eastAsia="zh-CN"/>
              </w:rPr>
            </w:pPr>
            <w:r>
              <w:rPr>
                <w:rFonts w:hint="eastAsia" w:ascii="宋体" w:hAnsi="宋体" w:eastAsia="宋体" w:cs="宋体"/>
                <w:sz w:val="15"/>
                <w:szCs w:val="15"/>
                <w:lang w:eastAsia="zh-CN"/>
              </w:rPr>
              <w:t>稳定一支高素质应急救援队伍</w:t>
            </w:r>
          </w:p>
        </w:tc>
        <w:tc>
          <w:tcPr>
            <w:tcW w:w="2640" w:type="dxa"/>
            <w:gridSpan w:val="4"/>
            <w:vAlign w:val="center"/>
          </w:tcPr>
          <w:p>
            <w:pPr>
              <w:jc w:val="center"/>
              <w:rPr>
                <w:rFonts w:hint="default" w:eastAsiaTheme="minorEastAsia"/>
                <w:sz w:val="18"/>
                <w:szCs w:val="18"/>
                <w:lang w:val="en-US" w:eastAsia="zh-CN"/>
              </w:rPr>
            </w:pPr>
            <w:r>
              <w:rPr>
                <w:rFonts w:hint="eastAsia"/>
                <w:sz w:val="18"/>
                <w:szCs w:val="18"/>
              </w:rPr>
              <w:t>≥</w:t>
            </w:r>
            <w:r>
              <w:rPr>
                <w:rFonts w:hint="eastAsia"/>
                <w:sz w:val="18"/>
                <w:szCs w:val="18"/>
                <w:lang w:val="en-US" w:eastAsia="zh-CN"/>
              </w:rPr>
              <w:t>40人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541"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285" w:type="dxa"/>
            <w:gridSpan w:val="2"/>
            <w:vAlign w:val="center"/>
          </w:tcPr>
          <w:p>
            <w:pPr>
              <w:jc w:val="center"/>
              <w:rPr>
                <w:rFonts w:hint="eastAsia" w:ascii="宋体" w:hAnsi="宋体" w:eastAsia="宋体" w:cs="宋体"/>
                <w:sz w:val="15"/>
                <w:szCs w:val="15"/>
              </w:rPr>
            </w:pPr>
            <w:r>
              <w:rPr>
                <w:rFonts w:hint="eastAsia" w:ascii="宋体" w:hAnsi="宋体" w:eastAsia="宋体" w:cs="宋体"/>
                <w:sz w:val="15"/>
                <w:szCs w:val="15"/>
              </w:rPr>
              <w:t>群众满意度</w:t>
            </w:r>
          </w:p>
        </w:tc>
        <w:tc>
          <w:tcPr>
            <w:tcW w:w="2640" w:type="dxa"/>
            <w:gridSpan w:val="4"/>
            <w:vAlign w:val="center"/>
          </w:tcPr>
          <w:p>
            <w:pPr>
              <w:jc w:val="center"/>
              <w:rPr>
                <w:rFonts w:hint="eastAsia"/>
                <w:sz w:val="18"/>
                <w:szCs w:val="18"/>
              </w:rPr>
            </w:pPr>
            <w:r>
              <w:rPr>
                <w:rFonts w:hint="eastAsia"/>
                <w:sz w:val="18"/>
                <w:szCs w:val="18"/>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8"/>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xml:space="preserve">:旷晓乐      联系电话:15973415706    填报日期:  2022年5月18日      </w:t>
      </w:r>
    </w:p>
    <w:p>
      <w:pPr>
        <w:tabs>
          <w:tab w:val="left" w:pos="6396"/>
        </w:tabs>
        <w:rPr>
          <w:rFonts w:hint="eastAsia" w:asciiTheme="majorEastAsia" w:hAnsiTheme="majorEastAsia" w:eastAsiaTheme="majorEastAsia" w:cstheme="majorEastAsia"/>
          <w:sz w:val="24"/>
          <w:szCs w:val="24"/>
          <w:lang w:val="en-US" w:eastAsia="zh-CN"/>
        </w:rPr>
      </w:pPr>
    </w:p>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单位负责人签字:刘晓红</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25E26C38"/>
    <w:rsid w:val="042A623C"/>
    <w:rsid w:val="06DA7EF0"/>
    <w:rsid w:val="076E386F"/>
    <w:rsid w:val="09584686"/>
    <w:rsid w:val="186C16C7"/>
    <w:rsid w:val="1F4503CA"/>
    <w:rsid w:val="2035351C"/>
    <w:rsid w:val="25E26C38"/>
    <w:rsid w:val="2803343C"/>
    <w:rsid w:val="2B982FEE"/>
    <w:rsid w:val="302F1277"/>
    <w:rsid w:val="33680A04"/>
    <w:rsid w:val="49DF4DAA"/>
    <w:rsid w:val="4B3C286A"/>
    <w:rsid w:val="4C725412"/>
    <w:rsid w:val="4CFF0D3B"/>
    <w:rsid w:val="4DBE5EA9"/>
    <w:rsid w:val="53E85CCE"/>
    <w:rsid w:val="58ED4416"/>
    <w:rsid w:val="5A13461A"/>
    <w:rsid w:val="5C9443EF"/>
    <w:rsid w:val="5FD10E51"/>
    <w:rsid w:val="62B6685E"/>
    <w:rsid w:val="6CBD1E1F"/>
    <w:rsid w:val="6DBD16A3"/>
    <w:rsid w:val="707D69CC"/>
    <w:rsid w:val="71BD102D"/>
    <w:rsid w:val="7304583E"/>
    <w:rsid w:val="760113F1"/>
    <w:rsid w:val="79ED6E4F"/>
    <w:rsid w:val="7A5050F6"/>
    <w:rsid w:val="7AF96440"/>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1813</Words>
  <Characters>1890</Characters>
  <Lines>0</Lines>
  <Paragraphs>0</Paragraphs>
  <TotalTime>0</TotalTime>
  <ScaleCrop>false</ScaleCrop>
  <LinksUpToDate>false</LinksUpToDate>
  <CharactersWithSpaces>1910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jiao</cp:lastModifiedBy>
  <cp:lastPrinted>2022-05-26T08:04:00Z</cp:lastPrinted>
  <dcterms:modified xsi:type="dcterms:W3CDTF">2023-09-01T02:42:53Z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73EBDC741F33414299BB3777421283DB</vt:lpwstr>
  </property>
</Properties>
</file>