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both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Arial" w:hAnsi="Arial" w:eastAsia="黑体" w:cs="Arial"/>
          <w:sz w:val="44"/>
          <w:szCs w:val="44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2022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年项目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支出绩效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目标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填报单位：</w:t>
      </w:r>
      <w:r>
        <w:rPr>
          <w:rFonts w:hint="eastAsia" w:ascii="仿宋" w:hAnsi="仿宋" w:eastAsia="仿宋" w:cs="仿宋"/>
          <w:kern w:val="0"/>
          <w:sz w:val="24"/>
          <w:szCs w:val="24"/>
        </w:rPr>
        <w:t>（盖章）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  单位：万元                  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项目支出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住房保障清理整顿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衡东县住房保障服务中心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20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1年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进一步完善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全县租赁型保障性住房（含直管公房）的分配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1906套公租房进行清理整顿。对涉及98个单位的优惠售房、15栋直管公房、3栋经济适用房进行摸排及房屋结构安全排查。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进一步完善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全县租赁型保障性住房（含直管公房）的分配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1906套公租房进行清理整顿。对涉及98个单位的优惠售房、15栋直管公房、3栋经济适用房进行摸排及房屋结构安全排查。</w:t>
            </w:r>
          </w:p>
          <w:p>
            <w:pPr>
              <w:ind w:firstLine="540" w:firstLineChars="30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产出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指标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住房保障清理整顿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1906套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住房保障清理整顿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0" w:name="_GoBack"/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住房保障清理整顿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按政府要求完成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bookmarkEnd w:id="0"/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住房保障清理整顿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≦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社会效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不符合要求入住公租房者腾退率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服务对象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≥9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tabs>
          <w:tab w:val="left" w:pos="6396"/>
        </w:tabs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填表人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:许丽平      填报日期:2022年3月29日    单位负责人签字:文家富</w:t>
      </w: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129A126E"/>
    <w:rsid w:val="1AC045CC"/>
    <w:rsid w:val="210D594A"/>
    <w:rsid w:val="21335E6D"/>
    <w:rsid w:val="25866A79"/>
    <w:rsid w:val="2CBF41D8"/>
    <w:rsid w:val="3CEE1298"/>
    <w:rsid w:val="4625597F"/>
    <w:rsid w:val="498428D2"/>
    <w:rsid w:val="4B967B13"/>
    <w:rsid w:val="62D766F6"/>
    <w:rsid w:val="67535961"/>
    <w:rsid w:val="677909A5"/>
    <w:rsid w:val="6AE62576"/>
    <w:rsid w:val="6F464579"/>
    <w:rsid w:val="7494705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2022-05-19T08:39:00Z</cp:lastPrinted>
  <dcterms:modified xsi:type="dcterms:W3CDTF">2022-05-25T01:25:13Z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87A70884AA704EC792CBD3C9E8EF3D7E</vt:lpwstr>
  </property>
</Properties>
</file>