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default" w:ascii="Arial" w:hAnsi="Arial" w:eastAsia="黑体" w:cs="Arial"/>
          <w:sz w:val="36"/>
          <w:szCs w:val="36"/>
        </w:rPr>
      </w:pPr>
    </w:p>
    <w:p>
      <w:pPr>
        <w:jc w:val="center"/>
        <w:rPr>
          <w:rFonts w:hint="eastAsia" w:ascii="黑体" w:hAnsi="黑体" w:eastAsia="黑体"/>
          <w:sz w:val="36"/>
          <w:szCs w:val="36"/>
        </w:rPr>
      </w:pPr>
      <w:r>
        <w:rPr>
          <w:rFonts w:hint="eastAsia" w:ascii="Arial" w:hAnsi="Arial" w:eastAsia="黑体" w:cs="Arial"/>
          <w:sz w:val="36"/>
          <w:szCs w:val="36"/>
          <w:lang w:val="en-US" w:eastAsia="zh-CN"/>
        </w:rPr>
        <w:t>2022</w:t>
      </w:r>
      <w:r>
        <w:rPr>
          <w:rFonts w:hint="eastAsia" w:ascii="黑体" w:hAnsi="黑体" w:eastAsia="黑体" w:cs="黑体"/>
          <w:sz w:val="36"/>
          <w:szCs w:val="36"/>
          <w:lang w:eastAsia="zh-CN"/>
        </w:rPr>
        <w:t>年项目</w:t>
      </w:r>
      <w:r>
        <w:rPr>
          <w:rFonts w:hint="eastAsia" w:ascii="黑体" w:hAnsi="黑体" w:eastAsia="黑体"/>
          <w:sz w:val="36"/>
          <w:szCs w:val="36"/>
        </w:rPr>
        <w:t>支出绩效</w:t>
      </w:r>
      <w:r>
        <w:rPr>
          <w:rFonts w:hint="eastAsia" w:ascii="黑体" w:hAnsi="黑体" w:eastAsia="黑体"/>
          <w:sz w:val="36"/>
          <w:szCs w:val="36"/>
          <w:lang w:eastAsia="zh-CN"/>
        </w:rPr>
        <w:t>目标</w:t>
      </w:r>
      <w:r>
        <w:rPr>
          <w:rFonts w:hint="eastAsia" w:ascii="黑体" w:hAnsi="黑体" w:eastAsia="黑体"/>
          <w:sz w:val="36"/>
          <w:szCs w:val="36"/>
        </w:rPr>
        <w:t>表</w:t>
      </w:r>
    </w:p>
    <w:p>
      <w:pPr>
        <w:jc w:val="both"/>
        <w:rPr>
          <w:rFonts w:hint="eastAsia" w:ascii="仿宋" w:hAnsi="仿宋" w:eastAsia="仿宋" w:cs="仿宋"/>
          <w:sz w:val="24"/>
          <w:szCs w:val="24"/>
          <w:lang w:eastAsia="zh-CN"/>
        </w:rPr>
      </w:pPr>
    </w:p>
    <w:p>
      <w:pPr>
        <w:jc w:val="both"/>
        <w:rPr>
          <w:rFonts w:hint="default" w:ascii="仿宋" w:hAnsi="仿宋" w:eastAsia="仿宋" w:cs="仿宋"/>
          <w:sz w:val="24"/>
          <w:szCs w:val="24"/>
          <w:lang w:val="en-US" w:eastAsia="zh-CN"/>
        </w:rPr>
      </w:pPr>
      <w:r>
        <w:rPr>
          <w:rFonts w:hint="eastAsia" w:ascii="仿宋" w:hAnsi="仿宋" w:eastAsia="仿宋" w:cs="仿宋"/>
          <w:sz w:val="24"/>
          <w:szCs w:val="24"/>
          <w:lang w:eastAsia="zh-CN"/>
        </w:rPr>
        <w:t>填报单位：（盖章）衡东县农业农村信息服务中心</w:t>
      </w:r>
      <w:r>
        <w:rPr>
          <w:rFonts w:hint="eastAsia" w:ascii="仿宋" w:hAnsi="仿宋" w:eastAsia="仿宋" w:cs="仿宋"/>
          <w:sz w:val="24"/>
          <w:szCs w:val="24"/>
          <w:lang w:val="en-US" w:eastAsia="zh-CN"/>
        </w:rPr>
        <w:t xml:space="preserve">      单位：万元            </w:t>
      </w:r>
    </w:p>
    <w:tbl>
      <w:tblPr>
        <w:tblStyle w:val="3"/>
        <w:tblW w:w="9073" w:type="dxa"/>
        <w:tblInd w:w="-318" w:type="dxa"/>
        <w:tblBorders>
          <w:top w:val="single" w:color="000000" w:themeColor="text1" w:sz="4" w:space="0"/>
          <w:left w:val="single" w:color="000000" w:themeColor="text1" w:sz="4" w:space="0"/>
          <w:bottom w:val="single" w:color="000000" w:themeColor="text1" w:sz="4" w:space="0"/>
          <w:right w:val="single" w:color="000000" w:themeColor="text1" w:sz="4" w:space="0"/>
          <w:insideH w:val="single" w:color="000000" w:themeColor="text1" w:sz="4" w:space="0"/>
          <w:insideV w:val="single" w:color="000000" w:themeColor="text1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618"/>
        <w:gridCol w:w="989"/>
        <w:gridCol w:w="1365"/>
        <w:gridCol w:w="185"/>
        <w:gridCol w:w="15"/>
        <w:gridCol w:w="1230"/>
        <w:gridCol w:w="790"/>
        <w:gridCol w:w="535"/>
        <w:gridCol w:w="362"/>
        <w:gridCol w:w="1984"/>
      </w:tblGrid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44" w:hRule="atLeast"/>
        </w:trPr>
        <w:tc>
          <w:tcPr>
            <w:tcW w:w="1618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eastAsia="zh-CN"/>
              </w:rPr>
              <w:t>项目支出</w:t>
            </w:r>
            <w:r>
              <w:rPr>
                <w:rFonts w:hint="eastAsia" w:ascii="仿宋" w:hAnsi="仿宋" w:eastAsia="仿宋" w:cs="仿宋"/>
                <w:sz w:val="24"/>
                <w:szCs w:val="24"/>
              </w:rPr>
              <w:t>名称</w:t>
            </w:r>
          </w:p>
        </w:tc>
        <w:tc>
          <w:tcPr>
            <w:tcW w:w="2554" w:type="dxa"/>
            <w:gridSpan w:val="4"/>
            <w:tcBorders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2022年高标准农田项目评审经费</w:t>
            </w:r>
          </w:p>
        </w:tc>
        <w:tc>
          <w:tcPr>
            <w:tcW w:w="1230" w:type="dxa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  <w:lang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eastAsia="zh-CN"/>
              </w:rPr>
              <w:t>预算部门</w:t>
            </w:r>
          </w:p>
        </w:tc>
        <w:tc>
          <w:tcPr>
            <w:tcW w:w="3671" w:type="dxa"/>
            <w:gridSpan w:val="4"/>
            <w:tcBorders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  <w:lang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eastAsia="zh-CN"/>
              </w:rPr>
              <w:t>衡东县农业农村信息服务中心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19" w:hRule="atLeast"/>
        </w:trPr>
        <w:tc>
          <w:tcPr>
            <w:tcW w:w="1618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kern w:val="2"/>
                <w:sz w:val="24"/>
                <w:szCs w:val="24"/>
                <w:lang w:val="en-US" w:eastAsia="zh-CN" w:bidi="ar-SA"/>
              </w:rPr>
              <w:t>年度本级</w:t>
            </w:r>
          </w:p>
          <w:p>
            <w:pPr>
              <w:jc w:val="center"/>
              <w:rPr>
                <w:rFonts w:hint="eastAsia" w:ascii="仿宋" w:hAnsi="仿宋" w:eastAsia="仿宋" w:cs="仿宋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kern w:val="2"/>
                <w:sz w:val="24"/>
                <w:szCs w:val="24"/>
                <w:lang w:val="en-US" w:eastAsia="zh-CN" w:bidi="ar-SA"/>
              </w:rPr>
              <w:t>预算金额</w:t>
            </w:r>
          </w:p>
        </w:tc>
        <w:tc>
          <w:tcPr>
            <w:tcW w:w="2539" w:type="dxa"/>
            <w:gridSpan w:val="3"/>
            <w:tcBorders>
              <w:top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27</w:t>
            </w:r>
          </w:p>
        </w:tc>
        <w:tc>
          <w:tcPr>
            <w:tcW w:w="2035" w:type="dxa"/>
            <w:gridSpan w:val="3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  <w:rPr>
                <w:rFonts w:hint="eastAsia" w:ascii="仿宋" w:hAnsi="仿宋" w:eastAsia="仿宋" w:cs="仿宋"/>
                <w:sz w:val="24"/>
                <w:szCs w:val="24"/>
                <w:lang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eastAsia="zh-CN"/>
              </w:rPr>
              <w:t>该项目支出上级资金</w:t>
            </w:r>
          </w:p>
        </w:tc>
        <w:tc>
          <w:tcPr>
            <w:tcW w:w="2881" w:type="dxa"/>
            <w:gridSpan w:val="3"/>
            <w:tcBorders>
              <w:top w:val="single" w:color="auto" w:sz="4" w:space="0"/>
              <w:left w:val="single" w:color="auto" w:sz="4" w:space="0"/>
            </w:tcBorders>
            <w:vAlign w:val="center"/>
          </w:tcPr>
          <w:p>
            <w:pPr>
              <w:jc w:val="left"/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 xml:space="preserve">   （分级填报）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2" w:hRule="atLeast"/>
        </w:trPr>
        <w:tc>
          <w:tcPr>
            <w:tcW w:w="1618" w:type="dxa"/>
            <w:tcBorders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  <w:lang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eastAsia="zh-CN"/>
              </w:rPr>
              <w:t>项目支出实施期</w:t>
            </w:r>
          </w:p>
        </w:tc>
        <w:tc>
          <w:tcPr>
            <w:tcW w:w="7455" w:type="dxa"/>
            <w:gridSpan w:val="9"/>
            <w:tcBorders>
              <w:bottom w:val="single" w:color="auto" w:sz="4" w:space="0"/>
            </w:tcBorders>
            <w:vAlign w:val="center"/>
          </w:tcPr>
          <w:p>
            <w:pPr>
              <w:tabs>
                <w:tab w:val="left" w:pos="825"/>
              </w:tabs>
              <w:jc w:val="both"/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2022年6月到2022年11月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36" w:hRule="atLeast"/>
        </w:trPr>
        <w:tc>
          <w:tcPr>
            <w:tcW w:w="1618" w:type="dxa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  <w:lang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eastAsia="zh-CN"/>
              </w:rPr>
              <w:t>实施期绩效目标</w:t>
            </w:r>
          </w:p>
        </w:tc>
        <w:tc>
          <w:tcPr>
            <w:tcW w:w="7455" w:type="dxa"/>
            <w:gridSpan w:val="9"/>
            <w:tcBorders>
              <w:top w:val="single" w:color="auto" w:sz="4" w:space="0"/>
            </w:tcBorders>
            <w:vAlign w:val="center"/>
          </w:tcPr>
          <w:p>
            <w:pPr>
              <w:pStyle w:val="5"/>
              <w:widowControl/>
              <w:numPr>
                <w:ilvl w:val="0"/>
                <w:numId w:val="0"/>
              </w:numPr>
              <w:jc w:val="both"/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  <w:t>通过项目的前期工作完善，积极推进高标准农田项目的发展，建设新时代农村，为县委、县政府有关农业发展提供决策依据。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76" w:hRule="atLeast"/>
        </w:trPr>
        <w:tc>
          <w:tcPr>
            <w:tcW w:w="1618" w:type="dxa"/>
            <w:tcBorders>
              <w:top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  <w:lang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eastAsia="zh-CN"/>
              </w:rPr>
              <w:t>本年度绩效目标</w:t>
            </w:r>
          </w:p>
        </w:tc>
        <w:tc>
          <w:tcPr>
            <w:tcW w:w="7455" w:type="dxa"/>
            <w:gridSpan w:val="9"/>
            <w:vAlign w:val="center"/>
          </w:tcPr>
          <w:p>
            <w:pPr>
              <w:pStyle w:val="5"/>
              <w:widowControl/>
              <w:numPr>
                <w:ilvl w:val="0"/>
                <w:numId w:val="0"/>
              </w:numPr>
              <w:jc w:val="left"/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  <w:t>通过项目的前期工作完善，积极推进高标准农田项目的发展，建设新时代农村，为县委、县政府有关农业发展提供决策依据。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2" w:hRule="atLeast"/>
        </w:trPr>
        <w:tc>
          <w:tcPr>
            <w:tcW w:w="1618" w:type="dxa"/>
            <w:vMerge w:val="restart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  <w:lang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eastAsia="zh-CN"/>
              </w:rPr>
              <w:t>本年度绩效指标</w:t>
            </w:r>
          </w:p>
        </w:tc>
        <w:tc>
          <w:tcPr>
            <w:tcW w:w="989" w:type="dxa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  <w:lang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eastAsia="zh-CN"/>
              </w:rPr>
              <w:t>一级指标</w:t>
            </w:r>
          </w:p>
        </w:tc>
        <w:tc>
          <w:tcPr>
            <w:tcW w:w="1365" w:type="dxa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二级指标</w:t>
            </w:r>
          </w:p>
        </w:tc>
        <w:tc>
          <w:tcPr>
            <w:tcW w:w="1430" w:type="dxa"/>
            <w:gridSpan w:val="3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  <w:lang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三级</w:t>
            </w:r>
            <w:r>
              <w:rPr>
                <w:rFonts w:hint="eastAsia" w:ascii="仿宋" w:hAnsi="仿宋" w:eastAsia="仿宋" w:cs="仿宋"/>
                <w:sz w:val="24"/>
                <w:szCs w:val="24"/>
                <w:lang w:eastAsia="zh-CN"/>
              </w:rPr>
              <w:t>指标</w:t>
            </w:r>
          </w:p>
        </w:tc>
        <w:tc>
          <w:tcPr>
            <w:tcW w:w="1325" w:type="dxa"/>
            <w:gridSpan w:val="2"/>
            <w:tcBorders>
              <w:right w:val="single" w:color="auto" w:sz="4" w:space="0"/>
            </w:tcBorders>
            <w:vAlign w:val="center"/>
          </w:tcPr>
          <w:p>
            <w:pPr>
              <w:jc w:val="left"/>
              <w:rPr>
                <w:rFonts w:hint="eastAsia" w:ascii="仿宋" w:hAnsi="仿宋" w:eastAsia="仿宋" w:cs="仿宋"/>
                <w:sz w:val="24"/>
                <w:szCs w:val="24"/>
                <w:lang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eastAsia="zh-CN"/>
              </w:rPr>
              <w:t>指标值及单位</w:t>
            </w:r>
          </w:p>
        </w:tc>
        <w:tc>
          <w:tcPr>
            <w:tcW w:w="2346" w:type="dxa"/>
            <w:gridSpan w:val="2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  <w:lang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eastAsia="zh-CN"/>
              </w:rPr>
              <w:t>绩效标准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18" w:type="dxa"/>
            <w:vMerge w:val="continue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989" w:type="dxa"/>
            <w:vMerge w:val="restart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eastAsia="zh-CN"/>
              </w:rPr>
              <w:t>产出</w:t>
            </w:r>
            <w:r>
              <w:rPr>
                <w:rFonts w:hint="eastAsia" w:ascii="仿宋" w:hAnsi="仿宋" w:eastAsia="仿宋" w:cs="仿宋"/>
                <w:sz w:val="24"/>
                <w:szCs w:val="24"/>
              </w:rPr>
              <w:t>指标</w:t>
            </w:r>
          </w:p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1365" w:type="dxa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数量指标</w:t>
            </w:r>
          </w:p>
        </w:tc>
        <w:tc>
          <w:tcPr>
            <w:tcW w:w="1430" w:type="dxa"/>
            <w:gridSpan w:val="3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  <w:lang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eastAsia="zh-CN"/>
              </w:rPr>
              <w:t>规划报告可研报告</w:t>
            </w:r>
          </w:p>
        </w:tc>
        <w:tc>
          <w:tcPr>
            <w:tcW w:w="1325" w:type="dxa"/>
            <w:gridSpan w:val="2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3本</w:t>
            </w:r>
          </w:p>
        </w:tc>
        <w:tc>
          <w:tcPr>
            <w:tcW w:w="2346" w:type="dxa"/>
            <w:gridSpan w:val="2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18" w:type="dxa"/>
            <w:vMerge w:val="continue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989" w:type="dxa"/>
            <w:vMerge w:val="continue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1365" w:type="dxa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质量指标</w:t>
            </w:r>
          </w:p>
        </w:tc>
        <w:tc>
          <w:tcPr>
            <w:tcW w:w="1430" w:type="dxa"/>
            <w:gridSpan w:val="3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  <w:lang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eastAsia="zh-CN"/>
              </w:rPr>
              <w:t>报告市级评审通过率</w:t>
            </w:r>
          </w:p>
        </w:tc>
        <w:tc>
          <w:tcPr>
            <w:tcW w:w="1325" w:type="dxa"/>
            <w:gridSpan w:val="2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100%</w:t>
            </w:r>
          </w:p>
        </w:tc>
        <w:tc>
          <w:tcPr>
            <w:tcW w:w="234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18" w:type="dxa"/>
            <w:vMerge w:val="continue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989" w:type="dxa"/>
            <w:vMerge w:val="continue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1365" w:type="dxa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时效指标</w:t>
            </w:r>
          </w:p>
        </w:tc>
        <w:tc>
          <w:tcPr>
            <w:tcW w:w="1430" w:type="dxa"/>
            <w:gridSpan w:val="3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  <w:lang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eastAsia="zh-CN"/>
              </w:rPr>
              <w:t>及时完成率</w:t>
            </w:r>
          </w:p>
        </w:tc>
        <w:tc>
          <w:tcPr>
            <w:tcW w:w="1325" w:type="dxa"/>
            <w:gridSpan w:val="2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100%</w:t>
            </w:r>
          </w:p>
        </w:tc>
        <w:tc>
          <w:tcPr>
            <w:tcW w:w="2346" w:type="dxa"/>
            <w:gridSpan w:val="2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15" w:hRule="atLeast"/>
        </w:trPr>
        <w:tc>
          <w:tcPr>
            <w:tcW w:w="1618" w:type="dxa"/>
            <w:vMerge w:val="continue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989" w:type="dxa"/>
            <w:vMerge w:val="continue"/>
            <w:tcBorders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1365" w:type="dxa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成本指标</w:t>
            </w:r>
          </w:p>
        </w:tc>
        <w:tc>
          <w:tcPr>
            <w:tcW w:w="1430" w:type="dxa"/>
            <w:gridSpan w:val="3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  <w:lang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eastAsia="zh-CN"/>
              </w:rPr>
              <w:t>高标准农田项目前期规划、设计、评审等工作经费</w:t>
            </w:r>
          </w:p>
        </w:tc>
        <w:tc>
          <w:tcPr>
            <w:tcW w:w="1325" w:type="dxa"/>
            <w:gridSpan w:val="2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≤</w:t>
            </w: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27</w:t>
            </w:r>
          </w:p>
        </w:tc>
        <w:tc>
          <w:tcPr>
            <w:tcW w:w="2346" w:type="dxa"/>
            <w:gridSpan w:val="2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18" w:type="dxa"/>
            <w:vMerge w:val="continue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989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  <w:lang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eastAsia="zh-CN"/>
              </w:rPr>
              <w:t>效益指标</w:t>
            </w:r>
          </w:p>
        </w:tc>
        <w:tc>
          <w:tcPr>
            <w:tcW w:w="1365" w:type="dxa"/>
            <w:vMerge w:val="restart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经济效</w:t>
            </w:r>
          </w:p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率指标</w:t>
            </w:r>
          </w:p>
        </w:tc>
        <w:tc>
          <w:tcPr>
            <w:tcW w:w="1430" w:type="dxa"/>
            <w:gridSpan w:val="3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1.水稻产量增加</w:t>
            </w:r>
          </w:p>
        </w:tc>
        <w:tc>
          <w:tcPr>
            <w:tcW w:w="1325" w:type="dxa"/>
            <w:gridSpan w:val="2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≥</w:t>
            </w: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387万公斤</w:t>
            </w:r>
          </w:p>
        </w:tc>
        <w:tc>
          <w:tcPr>
            <w:tcW w:w="2346" w:type="dxa"/>
            <w:gridSpan w:val="2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18" w:type="dxa"/>
            <w:vMerge w:val="continue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989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1365" w:type="dxa"/>
            <w:vMerge w:val="continue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1430" w:type="dxa"/>
            <w:gridSpan w:val="3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2.蔬菜产量增加</w:t>
            </w:r>
          </w:p>
        </w:tc>
        <w:tc>
          <w:tcPr>
            <w:tcW w:w="1325" w:type="dxa"/>
            <w:gridSpan w:val="2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≥</w:t>
            </w: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45万公斤</w:t>
            </w:r>
          </w:p>
        </w:tc>
        <w:tc>
          <w:tcPr>
            <w:tcW w:w="2346" w:type="dxa"/>
            <w:gridSpan w:val="2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18" w:type="dxa"/>
            <w:vMerge w:val="continue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989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1365" w:type="dxa"/>
            <w:vMerge w:val="continue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1430" w:type="dxa"/>
            <w:gridSpan w:val="3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3.油菜产量增加</w:t>
            </w:r>
          </w:p>
        </w:tc>
        <w:tc>
          <w:tcPr>
            <w:tcW w:w="1325" w:type="dxa"/>
            <w:gridSpan w:val="2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≥</w:t>
            </w: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20万公斤</w:t>
            </w:r>
          </w:p>
        </w:tc>
        <w:tc>
          <w:tcPr>
            <w:tcW w:w="2346" w:type="dxa"/>
            <w:gridSpan w:val="2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1" w:hRule="atLeast"/>
        </w:trPr>
        <w:tc>
          <w:tcPr>
            <w:tcW w:w="1618" w:type="dxa"/>
            <w:vMerge w:val="continue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989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1365" w:type="dxa"/>
            <w:tcBorders>
              <w:left w:val="single" w:color="auto" w:sz="4" w:space="0"/>
            </w:tcBorders>
            <w:vAlign w:val="center"/>
          </w:tcPr>
          <w:p>
            <w:pPr>
              <w:tabs>
                <w:tab w:val="left" w:pos="327"/>
              </w:tabs>
              <w:jc w:val="center"/>
              <w:rPr>
                <w:rFonts w:hint="eastAsia" w:ascii="仿宋" w:hAnsi="仿宋" w:eastAsia="仿宋" w:cs="仿宋"/>
                <w:sz w:val="24"/>
                <w:szCs w:val="24"/>
                <w:lang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eastAsia="zh-CN"/>
              </w:rPr>
              <w:t>可持续影响指标</w:t>
            </w:r>
          </w:p>
        </w:tc>
        <w:tc>
          <w:tcPr>
            <w:tcW w:w="1430" w:type="dxa"/>
            <w:gridSpan w:val="3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工程寿命年限</w:t>
            </w:r>
          </w:p>
        </w:tc>
        <w:tc>
          <w:tcPr>
            <w:tcW w:w="1325" w:type="dxa"/>
            <w:gridSpan w:val="2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≥</w:t>
            </w: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10年</w:t>
            </w:r>
          </w:p>
        </w:tc>
        <w:tc>
          <w:tcPr>
            <w:tcW w:w="2346" w:type="dxa"/>
            <w:gridSpan w:val="2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9" w:hRule="atLeast"/>
        </w:trPr>
        <w:tc>
          <w:tcPr>
            <w:tcW w:w="1618" w:type="dxa"/>
            <w:vMerge w:val="continue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989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nil"/>
            </w:tcBorders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1365" w:type="dxa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  <w:lang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eastAsia="zh-CN"/>
              </w:rPr>
              <w:t>社会公众或服务对象满意度</w:t>
            </w:r>
          </w:p>
        </w:tc>
        <w:tc>
          <w:tcPr>
            <w:tcW w:w="1430" w:type="dxa"/>
            <w:gridSpan w:val="3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  <w:lang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eastAsia="zh-CN"/>
              </w:rPr>
              <w:t>受益群众满意度</w:t>
            </w:r>
          </w:p>
        </w:tc>
        <w:tc>
          <w:tcPr>
            <w:tcW w:w="1325" w:type="dxa"/>
            <w:gridSpan w:val="2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≥</w:t>
            </w: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90%</w:t>
            </w:r>
          </w:p>
        </w:tc>
        <w:tc>
          <w:tcPr>
            <w:tcW w:w="2346" w:type="dxa"/>
            <w:gridSpan w:val="2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089" w:type="dxa"/>
            <w:gridSpan w:val="9"/>
            <w:tcBorders>
              <w:left w:val="nil"/>
              <w:bottom w:val="nil"/>
              <w:right w:val="nil"/>
            </w:tcBorders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</w:pPr>
          </w:p>
        </w:tc>
        <w:tc>
          <w:tcPr>
            <w:tcW w:w="1984" w:type="dxa"/>
            <w:tcBorders>
              <w:left w:val="nil"/>
              <w:bottom w:val="nil"/>
              <w:right w:val="nil"/>
            </w:tcBorders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</w:tr>
    </w:tbl>
    <w:p>
      <w:pPr>
        <w:tabs>
          <w:tab w:val="left" w:pos="6396"/>
        </w:tabs>
        <w:jc w:val="left"/>
        <w:rPr>
          <w:rFonts w:hint="eastAsia" w:asciiTheme="majorEastAsia" w:hAnsiTheme="majorEastAsia" w:eastAsiaTheme="majorEastAsia" w:cstheme="majorEastAsia"/>
          <w:sz w:val="24"/>
          <w:szCs w:val="24"/>
          <w:lang w:val="en-US" w:eastAsia="zh-CN"/>
        </w:rPr>
      </w:pPr>
      <w:r>
        <w:rPr>
          <w:rFonts w:hint="eastAsia" w:asciiTheme="majorEastAsia" w:hAnsiTheme="majorEastAsia" w:eastAsiaTheme="majorEastAsia" w:cstheme="majorEastAsia"/>
          <w:sz w:val="24"/>
          <w:szCs w:val="24"/>
          <w:lang w:eastAsia="zh-CN"/>
        </w:rPr>
        <w:t>填表人：</w:t>
      </w:r>
      <w:r>
        <w:rPr>
          <w:rFonts w:hint="eastAsia" w:asciiTheme="majorEastAsia" w:hAnsiTheme="majorEastAsia" w:eastAsiaTheme="majorEastAsia" w:cstheme="majorEastAsia"/>
          <w:sz w:val="24"/>
          <w:szCs w:val="24"/>
          <w:lang w:val="en-US" w:eastAsia="zh-CN"/>
        </w:rPr>
        <w:t>颜媛媛   填报日期:2022</w:t>
      </w:r>
      <w:bookmarkStart w:id="0" w:name="_GoBack"/>
      <w:bookmarkEnd w:id="0"/>
      <w:r>
        <w:rPr>
          <w:rFonts w:hint="eastAsia" w:asciiTheme="majorEastAsia" w:hAnsiTheme="majorEastAsia" w:eastAsiaTheme="majorEastAsia" w:cstheme="majorEastAsia"/>
          <w:sz w:val="24"/>
          <w:szCs w:val="24"/>
          <w:lang w:val="en-US" w:eastAsia="zh-CN"/>
        </w:rPr>
        <w:t>年4月18日   联系电话:  单位负责人签字:</w:t>
      </w:r>
    </w:p>
    <w:p>
      <w:pPr>
        <w:rPr>
          <w:rFonts w:hint="default"/>
          <w:sz w:val="24"/>
          <w:szCs w:val="24"/>
          <w:lang w:val="en-US" w:eastAsia="zh-CN"/>
        </w:rPr>
      </w:pPr>
    </w:p>
    <w:sectPr>
      <w:pgSz w:w="11906" w:h="16838"/>
      <w:pgMar w:top="1270" w:right="1800" w:bottom="986" w:left="1800" w:header="851" w:footer="992" w:gutter="0"/>
      <w:cols w:space="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jhkYmY4YWU2ODA0MGJiMWU0MmZiNzI5MmViN2VhNjkifQ=="/>
  </w:docVars>
  <w:rsids>
    <w:rsidRoot w:val="21335E6D"/>
    <w:rsid w:val="1C5312D0"/>
    <w:rsid w:val="21335E6D"/>
    <w:rsid w:val="2EE62640"/>
    <w:rsid w:val="498428D2"/>
    <w:rsid w:val="5A1E57EE"/>
    <w:rsid w:val="63276CE3"/>
    <w:rsid w:val="6CF829C9"/>
    <w:rsid w:val="74947058"/>
    <w:rsid w:val="77256912"/>
    <w:rsid w:val="7B70170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59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qFormat/>
    <w:uiPriority w:val="59"/>
    <w:tblPr>
      <w:tblBorders>
        <w:top w:val="single" w:color="000000" w:themeColor="text1" w:sz="4" w:space="0"/>
        <w:left w:val="single" w:color="000000" w:themeColor="text1" w:sz="4" w:space="0"/>
        <w:bottom w:val="single" w:color="000000" w:themeColor="text1" w:sz="4" w:space="0"/>
        <w:right w:val="single" w:color="000000" w:themeColor="text1" w:sz="4" w:space="0"/>
        <w:insideH w:val="single" w:color="000000" w:themeColor="text1" w:sz="4" w:space="0"/>
        <w:insideV w:val="single" w:color="000000" w:themeColor="text1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5">
    <w:name w:val="List Paragraph"/>
    <w:basedOn w:val="1"/>
    <w:qFormat/>
    <w:uiPriority w:val="34"/>
    <w:pPr>
      <w:ind w:firstLine="420" w:firstLineChars="200"/>
    </w:p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450</Words>
  <Characters>486</Characters>
  <Lines>0</Lines>
  <Paragraphs>0</Paragraphs>
  <TotalTime>46</TotalTime>
  <ScaleCrop>false</ScaleCrop>
  <LinksUpToDate>false</LinksUpToDate>
  <CharactersWithSpaces>515</CharactersWithSpaces>
  <Application>WPS Office_11.1.0.11744_F1E327BC-269C-435d-A152-05C5408002CA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2021-04-25T03:07:00Z</dcterms:created>
  <dc:creator>Administrator</dc:creator>
  <cp:lastModifiedBy>Administrator</cp:lastModifiedBy>
  <cp:lastPrinted>2022-05-18T01:00:00Z</cp:lastPrinted>
  <dcterms:modified xsi:type="dcterms:W3CDTF">2022-05-25T03:15:19Z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2052-11.1.0.11744</vt:lpwstr>
  </property>
  <property fmtid="{D5CDD505-2E9C-101B-9397-08002B2CF9AE}" pid="3" name="ICV">
    <vt:lpwstr>7C7CF3F898B24392B631ECDEF5E7D14D</vt:lpwstr>
  </property>
</Properties>
</file>