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1090"/>
        <w:gridCol w:w="1143"/>
        <w:gridCol w:w="185"/>
        <w:gridCol w:w="15"/>
        <w:gridCol w:w="1230"/>
        <w:gridCol w:w="790"/>
        <w:gridCol w:w="737"/>
        <w:gridCol w:w="16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3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项目支出名称</w:t>
            </w:r>
          </w:p>
        </w:tc>
        <w:tc>
          <w:tcPr>
            <w:tcW w:w="243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老年儿童福利经费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衡东县社会福利中心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3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418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3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项目支出实施期</w:t>
            </w:r>
          </w:p>
        </w:tc>
        <w:tc>
          <w:tcPr>
            <w:tcW w:w="733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实施期绩效目标</w:t>
            </w:r>
          </w:p>
        </w:tc>
        <w:tc>
          <w:tcPr>
            <w:tcW w:w="7334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保障院内的运营管理，为特困供养人员、“三无”老人、孤残儿童提供全面、更优质的生活照料、康复护理、健康指导等服务。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73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本年度绩效目标</w:t>
            </w:r>
          </w:p>
        </w:tc>
        <w:tc>
          <w:tcPr>
            <w:tcW w:w="7334" w:type="dxa"/>
            <w:gridSpan w:val="9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项目预算资金专款专用，无挤占挪用，实行单独核算.推动院内工作健康有序开展，提高财政资金使用效益，赢得五保老人和孤残儿童的满意和高度评价，产生良好的社会效益及可持续影响。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3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本年度绩效指标</w:t>
            </w:r>
          </w:p>
        </w:tc>
        <w:tc>
          <w:tcPr>
            <w:tcW w:w="10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一级指标</w:t>
            </w:r>
          </w:p>
        </w:tc>
        <w:tc>
          <w:tcPr>
            <w:tcW w:w="114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指标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指标值及单位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产出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特困供养人员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380张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参照国发【2013】35号、湘政发【2014】22号文件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供养孤残儿童</w:t>
            </w:r>
          </w:p>
        </w:tc>
        <w:tc>
          <w:tcPr>
            <w:tcW w:w="152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45张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参照儿童福利院建设标准建标【2010】195号文件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照料护理人员</w:t>
            </w:r>
          </w:p>
        </w:tc>
        <w:tc>
          <w:tcPr>
            <w:tcW w:w="152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1:6和1:3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参照湘民发【2017】10号文件及湘政发【2016】11号文件配备工作人员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保障特困老年人、孤残儿童的医疗、康复，教育及生活等</w:t>
            </w:r>
          </w:p>
        </w:tc>
        <w:tc>
          <w:tcPr>
            <w:tcW w:w="15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≥90%　　</w:t>
            </w:r>
          </w:p>
        </w:tc>
        <w:tc>
          <w:tcPr>
            <w:tcW w:w="2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入住率、护理覆盖率、医疗覆盖率、日常照护覆盖率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年度内及时完成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照料护理人员工资、社保　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48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单位设施设备维修、水电费等其他性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支出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院内老人及小孩的医疗费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为院内老人及小孩采购服装、床上用品、鞋袜等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效益指标</w:t>
            </w:r>
          </w:p>
        </w:tc>
        <w:tc>
          <w:tcPr>
            <w:tcW w:w="114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解决老年人、儿童生活问题，履行政府兜底保障作用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73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项目持续稳定性　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长期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73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让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服务对象满意　</w:t>
            </w:r>
          </w:p>
        </w:tc>
        <w:tc>
          <w:tcPr>
            <w:tcW w:w="15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≧90%　　</w:t>
            </w:r>
          </w:p>
        </w:tc>
        <w:tc>
          <w:tcPr>
            <w:tcW w:w="214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填表人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: 何彬  填报日期: 2022.4.13   联系电话: 5222462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Njk5YWQ1N2YzODk1ZWVlOTdhYTY5MmZlNDkwZjMifQ=="/>
  </w:docVars>
  <w:rsids>
    <w:rsidRoot w:val="21335E6D"/>
    <w:rsid w:val="04895461"/>
    <w:rsid w:val="06AE3E0A"/>
    <w:rsid w:val="0B3D126E"/>
    <w:rsid w:val="21335E6D"/>
    <w:rsid w:val="215A01A4"/>
    <w:rsid w:val="25C66622"/>
    <w:rsid w:val="3940569F"/>
    <w:rsid w:val="3E3E7246"/>
    <w:rsid w:val="3FB05F21"/>
    <w:rsid w:val="498428D2"/>
    <w:rsid w:val="542810EB"/>
    <w:rsid w:val="739E286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634</Words>
  <Characters>675</Characters>
  <Lines>0</Lines>
  <Paragraphs>0</Paragraphs>
  <TotalTime>32</TotalTime>
  <ScaleCrop>false</ScaleCrop>
  <LinksUpToDate>false</LinksUpToDate>
  <CharactersWithSpaces>751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2022-05-17T08:51:09Z</cp:lastPrinted>
  <dcterms:modified xsi:type="dcterms:W3CDTF">2022-05-17T08:51:14Z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