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Arial" w:hAnsi="Arial" w:eastAsia="黑体" w:cs="Arial"/>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填报单位：（盖章）衡东县人民医院</w:t>
      </w:r>
    </w:p>
    <w:tbl>
      <w:tblPr>
        <w:tblStyle w:val="3"/>
        <w:tblW w:w="9192"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542"/>
        <w:gridCol w:w="1065"/>
        <w:gridCol w:w="1665"/>
        <w:gridCol w:w="1122"/>
        <w:gridCol w:w="1158"/>
        <w:gridCol w:w="236"/>
        <w:gridCol w:w="301"/>
        <w:gridCol w:w="1984"/>
        <w:gridCol w:w="119"/>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404" w:hRule="atLeast"/>
        </w:trPr>
        <w:tc>
          <w:tcPr>
            <w:tcW w:w="154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7531" w:type="dxa"/>
            <w:gridSpan w:val="7"/>
            <w:tcBorders>
              <w:bottom w:val="single" w:color="auto" w:sz="4" w:space="0"/>
            </w:tcBorders>
            <w:vAlign w:val="center"/>
          </w:tcPr>
          <w:p>
            <w:pPr>
              <w:jc w:val="center"/>
              <w:rPr>
                <w:rFonts w:hint="eastAsia" w:eastAsiaTheme="minorEastAsia"/>
                <w:sz w:val="18"/>
                <w:szCs w:val="18"/>
                <w:lang w:eastAsia="zh-CN"/>
              </w:rPr>
            </w:pPr>
            <w:r>
              <w:rPr>
                <w:rFonts w:hint="eastAsia"/>
                <w:sz w:val="18"/>
                <w:szCs w:val="18"/>
                <w:lang w:eastAsia="zh-CN"/>
              </w:rPr>
              <w:t>衡东县人民医院</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7531" w:type="dxa"/>
            <w:gridSpan w:val="7"/>
            <w:tcBorders>
              <w:top w:val="single" w:color="auto" w:sz="4" w:space="0"/>
            </w:tcBorders>
            <w:vAlign w:val="center"/>
          </w:tcPr>
          <w:p>
            <w:pPr>
              <w:jc w:val="left"/>
              <w:rPr>
                <w:rFonts w:hint="eastAsia"/>
                <w:sz w:val="18"/>
                <w:szCs w:val="18"/>
              </w:rPr>
            </w:pPr>
            <w:r>
              <w:rPr>
                <w:rFonts w:hint="eastAsia"/>
                <w:sz w:val="18"/>
                <w:szCs w:val="18"/>
                <w:lang w:eastAsia="zh-CN"/>
              </w:rPr>
              <w:t>资金总额：2</w:t>
            </w:r>
            <w:r>
              <w:rPr>
                <w:rFonts w:hint="eastAsia"/>
                <w:sz w:val="18"/>
                <w:szCs w:val="18"/>
                <w:lang w:val="en-US" w:eastAsia="zh-CN"/>
              </w:rPr>
              <w:t>61</w:t>
            </w:r>
            <w:r>
              <w:rPr>
                <w:rFonts w:hint="eastAsia"/>
                <w:sz w:val="18"/>
                <w:szCs w:val="18"/>
                <w:lang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eastAsiaTheme="minorEastAsia"/>
                <w:sz w:val="18"/>
                <w:szCs w:val="18"/>
                <w:lang w:eastAsia="zh-CN"/>
              </w:rPr>
            </w:pPr>
          </w:p>
        </w:tc>
        <w:tc>
          <w:tcPr>
            <w:tcW w:w="3852" w:type="dxa"/>
            <w:gridSpan w:val="3"/>
            <w:tcBorders>
              <w:right w:val="single" w:color="auto" w:sz="4" w:space="0"/>
            </w:tcBorders>
            <w:vAlign w:val="center"/>
          </w:tcPr>
          <w:p>
            <w:pPr>
              <w:jc w:val="left"/>
              <w:rPr>
                <w:rFonts w:hint="eastAsia"/>
                <w:sz w:val="18"/>
                <w:szCs w:val="18"/>
              </w:rPr>
            </w:pPr>
            <w:r>
              <w:rPr>
                <w:rFonts w:hint="eastAsia"/>
                <w:sz w:val="18"/>
                <w:szCs w:val="18"/>
                <w:lang w:eastAsia="zh-CN"/>
              </w:rPr>
              <w:t>按收入性质分：</w:t>
            </w:r>
          </w:p>
        </w:tc>
        <w:tc>
          <w:tcPr>
            <w:tcW w:w="3679" w:type="dxa"/>
            <w:gridSpan w:val="4"/>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default"/>
                <w:sz w:val="18"/>
                <w:szCs w:val="18"/>
                <w:lang w:val="en-US"/>
              </w:rPr>
            </w:pPr>
            <w:r>
              <w:rPr>
                <w:rFonts w:hint="eastAsia"/>
                <w:sz w:val="18"/>
                <w:szCs w:val="18"/>
                <w:lang w:eastAsia="zh-CN"/>
              </w:rPr>
              <w:t>其中：一般公共预算：</w:t>
            </w:r>
            <w:r>
              <w:rPr>
                <w:rFonts w:hint="eastAsia"/>
                <w:sz w:val="18"/>
                <w:szCs w:val="18"/>
                <w:lang w:val="en-US" w:eastAsia="zh-CN"/>
              </w:rPr>
              <w:t>261万元</w:t>
            </w:r>
          </w:p>
        </w:tc>
        <w:tc>
          <w:tcPr>
            <w:tcW w:w="3679" w:type="dxa"/>
            <w:gridSpan w:val="4"/>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253万元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385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3679" w:type="dxa"/>
            <w:gridSpan w:val="4"/>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8万元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3852" w:type="dxa"/>
            <w:gridSpan w:val="3"/>
            <w:vAlign w:val="center"/>
          </w:tcPr>
          <w:p>
            <w:pPr>
              <w:jc w:val="both"/>
              <w:rPr>
                <w:rFonts w:hint="eastAsia"/>
                <w:sz w:val="18"/>
                <w:szCs w:val="18"/>
              </w:rPr>
            </w:pPr>
            <w:r>
              <w:rPr>
                <w:rFonts w:hint="eastAsia"/>
                <w:sz w:val="18"/>
                <w:szCs w:val="18"/>
                <w:lang w:eastAsia="zh-CN"/>
              </w:rPr>
              <w:t>纳入专户管理的非税收入拨款：</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3852" w:type="dxa"/>
            <w:gridSpan w:val="3"/>
            <w:vAlign w:val="center"/>
          </w:tcPr>
          <w:p>
            <w:pPr>
              <w:jc w:val="center"/>
              <w:rPr>
                <w:rFonts w:hint="eastAsia"/>
                <w:sz w:val="18"/>
                <w:szCs w:val="18"/>
              </w:rPr>
            </w:pPr>
            <w:r>
              <w:rPr>
                <w:rFonts w:hint="eastAsia"/>
                <w:sz w:val="18"/>
                <w:szCs w:val="18"/>
                <w:lang w:eastAsia="zh-CN"/>
              </w:rPr>
              <w:t>其他资金</w:t>
            </w:r>
          </w:p>
        </w:tc>
        <w:tc>
          <w:tcPr>
            <w:tcW w:w="3679" w:type="dxa"/>
            <w:gridSpan w:val="4"/>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7531" w:type="dxa"/>
            <w:gridSpan w:val="7"/>
            <w:vAlign w:val="center"/>
          </w:tcPr>
          <w:p>
            <w:pPr>
              <w:jc w:val="both"/>
              <w:rPr>
                <w:rFonts w:hint="eastAsia"/>
                <w:sz w:val="18"/>
                <w:szCs w:val="18"/>
                <w:lang w:val="en-US" w:eastAsia="zh-CN"/>
              </w:rPr>
            </w:pPr>
            <w:r>
              <w:rPr>
                <w:rFonts w:hint="eastAsia"/>
                <w:sz w:val="18"/>
                <w:szCs w:val="18"/>
                <w:lang w:val="en-US" w:eastAsia="zh-CN"/>
              </w:rPr>
              <w:t>1.本单位主要职能是：为人民群众提供医疗、急救、预防、保健、康复、科研、教学等医疗卫生服务。</w:t>
            </w:r>
          </w:p>
          <w:p>
            <w:pPr>
              <w:jc w:val="both"/>
              <w:rPr>
                <w:rFonts w:hint="eastAsia"/>
                <w:sz w:val="18"/>
                <w:szCs w:val="18"/>
                <w:lang w:val="en-US" w:eastAsia="zh-CN"/>
              </w:rPr>
            </w:pPr>
            <w:r>
              <w:rPr>
                <w:rFonts w:hint="eastAsia"/>
                <w:sz w:val="18"/>
                <w:szCs w:val="18"/>
                <w:lang w:val="en-US" w:eastAsia="zh-CN"/>
              </w:rPr>
              <w:t>2.贯彻落实医药卫生体制改革、中西医并重方针和国家中医药法律法规，执行中医药政策；拟定实施中医药、民族医药和中西医结合发展战略、规划；指导全县各医疗机构发展中医药和中西医结合业务建设。</w:t>
            </w:r>
          </w:p>
          <w:p>
            <w:pPr>
              <w:jc w:val="both"/>
              <w:rPr>
                <w:rFonts w:hint="eastAsia"/>
                <w:sz w:val="18"/>
                <w:szCs w:val="18"/>
                <w:lang w:val="en-US" w:eastAsia="zh-CN"/>
              </w:rPr>
            </w:pPr>
            <w:r>
              <w:rPr>
                <w:rFonts w:hint="eastAsia"/>
                <w:sz w:val="18"/>
                <w:szCs w:val="18"/>
                <w:lang w:val="en-US" w:eastAsia="zh-CN"/>
              </w:rPr>
              <w:t>3.确保全县人民中西医疗健康需求，建立与地方经济发展相适应的医疗环境。加强医疗标准化管理 。</w:t>
            </w:r>
          </w:p>
          <w:p>
            <w:pPr>
              <w:jc w:val="both"/>
              <w:rPr>
                <w:rFonts w:hint="eastAsia"/>
                <w:sz w:val="18"/>
                <w:szCs w:val="18"/>
                <w:lang w:val="en-US" w:eastAsia="zh-CN"/>
              </w:rPr>
            </w:pPr>
            <w:r>
              <w:rPr>
                <w:rFonts w:hint="eastAsia"/>
                <w:sz w:val="18"/>
                <w:szCs w:val="18"/>
                <w:lang w:val="en-US" w:eastAsia="zh-CN"/>
              </w:rPr>
              <w:t>4.贯彻落实国家基本药物制度和药品集中采购工作，执行医用耗材集中采购工作；负责医院内部的药品和医疗器械管理工作。</w:t>
            </w:r>
          </w:p>
          <w:p>
            <w:pPr>
              <w:jc w:val="both"/>
              <w:rPr>
                <w:rFonts w:hint="eastAsia"/>
                <w:sz w:val="18"/>
                <w:szCs w:val="18"/>
                <w:lang w:val="en-US" w:eastAsia="zh-CN"/>
              </w:rPr>
            </w:pPr>
            <w:r>
              <w:rPr>
                <w:rFonts w:hint="eastAsia"/>
                <w:sz w:val="18"/>
                <w:szCs w:val="18"/>
                <w:lang w:val="en-US" w:eastAsia="zh-CN"/>
              </w:rPr>
              <w:t>5.承担意外灾害事故、疫情等突发公共卫生事件的医疗急救及社区预防、保健和康复医疗服务工作，开展各种医疗保健卫生知识宣传普及。</w:t>
            </w:r>
          </w:p>
          <w:p>
            <w:pPr>
              <w:jc w:val="both"/>
              <w:rPr>
                <w:rFonts w:hint="eastAsia"/>
                <w:sz w:val="18"/>
                <w:szCs w:val="18"/>
                <w:lang w:val="en-US" w:eastAsia="zh-CN"/>
              </w:rPr>
            </w:pPr>
            <w:r>
              <w:rPr>
                <w:rFonts w:hint="eastAsia"/>
                <w:sz w:val="18"/>
                <w:szCs w:val="18"/>
                <w:lang w:val="en-US" w:eastAsia="zh-CN"/>
              </w:rPr>
              <w:t>6.充分发挥中、西医药在国家基本公共卫生服务中的优势和作用，负责全县基本公共卫生服务中、西医药健康管理项目的实施和日常管理。</w:t>
            </w:r>
          </w:p>
          <w:p>
            <w:pPr>
              <w:jc w:val="both"/>
              <w:rPr>
                <w:rFonts w:hint="eastAsia"/>
                <w:sz w:val="18"/>
                <w:szCs w:val="18"/>
                <w:lang w:val="en-US" w:eastAsia="zh-CN"/>
              </w:rPr>
            </w:pPr>
            <w:r>
              <w:rPr>
                <w:rFonts w:hint="eastAsia"/>
                <w:sz w:val="18"/>
                <w:szCs w:val="18"/>
                <w:lang w:val="en-US" w:eastAsia="zh-CN"/>
              </w:rPr>
              <w:t>7.组织实施医疗科学研究，推进医学科技成果转化和推广应用；承担医卫人才培养，医卫继承医学教育工作。</w:t>
            </w:r>
          </w:p>
          <w:p>
            <w:pPr>
              <w:jc w:val="both"/>
              <w:rPr>
                <w:rFonts w:hint="eastAsia"/>
                <w:sz w:val="18"/>
                <w:szCs w:val="18"/>
                <w:lang w:val="en-US" w:eastAsia="zh-CN"/>
              </w:rPr>
            </w:pPr>
            <w:r>
              <w:rPr>
                <w:rFonts w:hint="eastAsia"/>
                <w:sz w:val="18"/>
                <w:szCs w:val="18"/>
                <w:lang w:val="en-US" w:eastAsia="zh-CN"/>
              </w:rPr>
              <w:t>8.做好城镇职工基本医疗保险、城镇居民基本医疗保险和新型农村合作医疗保险等定点医疗机构和各项工作。</w:t>
            </w:r>
          </w:p>
          <w:p>
            <w:pPr>
              <w:jc w:val="both"/>
              <w:rPr>
                <w:rFonts w:hint="eastAsia"/>
                <w:sz w:val="18"/>
                <w:szCs w:val="18"/>
                <w:lang w:val="en-US" w:eastAsia="zh-CN"/>
              </w:rPr>
            </w:pPr>
            <w:r>
              <w:rPr>
                <w:rFonts w:hint="eastAsia"/>
                <w:sz w:val="18"/>
                <w:szCs w:val="18"/>
                <w:lang w:val="en-US" w:eastAsia="zh-CN"/>
              </w:rPr>
              <w:t>9.参与卫生扶贫、重要会议与重大活动的医疗卫生保障工作。</w:t>
            </w:r>
          </w:p>
          <w:p>
            <w:pPr>
              <w:jc w:val="both"/>
              <w:rPr>
                <w:rFonts w:hint="default" w:eastAsiaTheme="minorEastAsia"/>
                <w:sz w:val="18"/>
                <w:szCs w:val="18"/>
                <w:lang w:val="en-US" w:eastAsia="zh-CN"/>
              </w:rPr>
            </w:pPr>
            <w:r>
              <w:rPr>
                <w:rFonts w:hint="eastAsia"/>
                <w:sz w:val="18"/>
                <w:szCs w:val="18"/>
                <w:lang w:val="en-US" w:eastAsia="zh-CN"/>
              </w:rPr>
              <w:t>10.承担县委县政府及县卫健局交办的其他卫生工作。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1261" w:hRule="atLeast"/>
        </w:trPr>
        <w:tc>
          <w:tcPr>
            <w:tcW w:w="1542" w:type="dxa"/>
            <w:vAlign w:val="center"/>
          </w:tcPr>
          <w:p>
            <w:pPr>
              <w:jc w:val="center"/>
              <w:rPr>
                <w:rFonts w:hint="eastAsia"/>
                <w:sz w:val="18"/>
                <w:szCs w:val="18"/>
                <w:lang w:eastAsia="zh-CN"/>
              </w:rPr>
            </w:pPr>
            <w:r>
              <w:rPr>
                <w:rFonts w:hint="eastAsia"/>
                <w:sz w:val="18"/>
                <w:szCs w:val="18"/>
                <w:lang w:eastAsia="zh-CN"/>
              </w:rPr>
              <w:t>整体绩效目标</w:t>
            </w:r>
          </w:p>
        </w:tc>
        <w:tc>
          <w:tcPr>
            <w:tcW w:w="7531" w:type="dxa"/>
            <w:gridSpan w:val="7"/>
            <w:vAlign w:val="center"/>
          </w:tcPr>
          <w:p>
            <w:pPr>
              <w:jc w:val="left"/>
              <w:rPr>
                <w:rFonts w:hint="eastAsia"/>
                <w:sz w:val="18"/>
                <w:szCs w:val="18"/>
              </w:rPr>
            </w:pPr>
            <w:r>
              <w:rPr>
                <w:rFonts w:hint="eastAsia"/>
                <w:sz w:val="18"/>
                <w:szCs w:val="18"/>
              </w:rPr>
              <w:t>目标1：通过预算执行，保证正常工作运转。</w:t>
            </w:r>
          </w:p>
          <w:p>
            <w:pPr>
              <w:jc w:val="left"/>
              <w:rPr>
                <w:rFonts w:hint="eastAsia"/>
                <w:sz w:val="18"/>
                <w:szCs w:val="18"/>
              </w:rPr>
            </w:pPr>
            <w:r>
              <w:rPr>
                <w:rFonts w:hint="eastAsia"/>
                <w:sz w:val="18"/>
                <w:szCs w:val="18"/>
              </w:rPr>
              <w:t>目标2：持续深化综合医改工作、助力“健康中国”战略实施。持续提升核心竞争力，积极开展医联体建设，加快医改向纵深推进，进一步提升服务质量，做好社区保康和康复任务。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restart"/>
            <w:vAlign w:val="center"/>
          </w:tcPr>
          <w:p>
            <w:pPr>
              <w:jc w:val="center"/>
              <w:rPr>
                <w:rFonts w:hint="eastAsia" w:eastAsiaTheme="minorEastAsia"/>
                <w:sz w:val="18"/>
                <w:szCs w:val="18"/>
                <w:lang w:eastAsia="zh-CN"/>
              </w:rPr>
            </w:pPr>
            <w:r>
              <w:rPr>
                <w:rFonts w:hint="eastAsia"/>
                <w:sz w:val="18"/>
                <w:szCs w:val="18"/>
                <w:lang w:eastAsia="zh-CN"/>
              </w:rPr>
              <w:t>部门整体支出</w:t>
            </w:r>
            <w:r>
              <w:rPr>
                <w:rFonts w:hint="eastAsia"/>
                <w:sz w:val="18"/>
                <w:szCs w:val="18"/>
                <w:lang w:val="en-US" w:eastAsia="zh-CN"/>
              </w:rPr>
              <w:t xml:space="preserve">  </w:t>
            </w:r>
            <w:r>
              <w:rPr>
                <w:rFonts w:hint="eastAsia"/>
                <w:sz w:val="18"/>
                <w:szCs w:val="18"/>
                <w:lang w:eastAsia="zh-CN"/>
              </w:rPr>
              <w:t>年度绩效指标</w:t>
            </w:r>
          </w:p>
        </w:tc>
        <w:tc>
          <w:tcPr>
            <w:tcW w:w="1065" w:type="dxa"/>
            <w:tcBorders>
              <w:right w:val="single" w:color="auto" w:sz="4" w:space="0"/>
            </w:tcBorders>
            <w:vAlign w:val="center"/>
          </w:tcPr>
          <w:p>
            <w:pPr>
              <w:jc w:val="center"/>
              <w:rPr>
                <w:rFonts w:hint="eastAsia"/>
                <w:sz w:val="18"/>
                <w:szCs w:val="18"/>
              </w:rPr>
            </w:pPr>
            <w:r>
              <w:rPr>
                <w:rFonts w:hint="eastAsia"/>
                <w:sz w:val="18"/>
                <w:szCs w:val="18"/>
              </w:rPr>
              <w:t>一级指标</w:t>
            </w:r>
          </w:p>
        </w:tc>
        <w:tc>
          <w:tcPr>
            <w:tcW w:w="1665" w:type="dxa"/>
            <w:tcBorders>
              <w:left w:val="single" w:color="auto" w:sz="4" w:space="0"/>
            </w:tcBorders>
            <w:vAlign w:val="center"/>
          </w:tcPr>
          <w:p>
            <w:pPr>
              <w:jc w:val="center"/>
              <w:rPr>
                <w:rFonts w:hint="eastAsia"/>
                <w:sz w:val="18"/>
                <w:szCs w:val="18"/>
              </w:rPr>
            </w:pPr>
            <w:r>
              <w:rPr>
                <w:rFonts w:hint="eastAsia"/>
                <w:sz w:val="18"/>
                <w:szCs w:val="18"/>
              </w:rPr>
              <w:t>二级指标</w:t>
            </w:r>
          </w:p>
        </w:tc>
        <w:tc>
          <w:tcPr>
            <w:tcW w:w="2280" w:type="dxa"/>
            <w:gridSpan w:val="2"/>
            <w:vAlign w:val="center"/>
          </w:tcPr>
          <w:p>
            <w:pPr>
              <w:jc w:val="center"/>
              <w:rPr>
                <w:rFonts w:hint="eastAsia" w:eastAsiaTheme="minorEastAsia"/>
                <w:sz w:val="18"/>
                <w:szCs w:val="18"/>
                <w:lang w:eastAsia="zh-CN"/>
              </w:rPr>
            </w:pPr>
            <w:r>
              <w:rPr>
                <w:rFonts w:hint="eastAsia"/>
                <w:sz w:val="18"/>
                <w:szCs w:val="18"/>
              </w:rPr>
              <w:t>三级</w:t>
            </w:r>
            <w:r>
              <w:rPr>
                <w:rFonts w:hint="eastAsia"/>
                <w:sz w:val="18"/>
                <w:szCs w:val="18"/>
                <w:lang w:eastAsia="zh-CN"/>
              </w:rPr>
              <w:t>指标</w:t>
            </w:r>
          </w:p>
        </w:tc>
        <w:tc>
          <w:tcPr>
            <w:tcW w:w="2521" w:type="dxa"/>
            <w:gridSpan w:val="3"/>
            <w:tcBorders>
              <w:right w:val="single" w:color="auto" w:sz="4" w:space="0"/>
            </w:tcBorders>
            <w:vAlign w:val="center"/>
          </w:tcPr>
          <w:p>
            <w:pPr>
              <w:jc w:val="center"/>
              <w:rPr>
                <w:rFonts w:hint="eastAsia" w:eastAsiaTheme="minorEastAsia"/>
                <w:sz w:val="18"/>
                <w:szCs w:val="18"/>
                <w:lang w:val="en-US" w:eastAsia="zh-CN"/>
              </w:rPr>
            </w:pPr>
            <w:r>
              <w:rPr>
                <w:rFonts w:hint="eastAsia"/>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产出指标</w:t>
            </w: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数量指标</w:t>
            </w:r>
          </w:p>
        </w:tc>
        <w:tc>
          <w:tcPr>
            <w:tcW w:w="2280" w:type="dxa"/>
            <w:gridSpan w:val="2"/>
            <w:vAlign w:val="center"/>
          </w:tcPr>
          <w:p>
            <w:pPr>
              <w:jc w:val="center"/>
              <w:rPr>
                <w:rFonts w:hint="eastAsia"/>
                <w:sz w:val="18"/>
                <w:szCs w:val="18"/>
              </w:rPr>
            </w:pPr>
            <w:r>
              <w:rPr>
                <w:rFonts w:hint="eastAsia"/>
                <w:sz w:val="18"/>
                <w:szCs w:val="18"/>
              </w:rPr>
              <w:t>财政供养人员</w:t>
            </w:r>
          </w:p>
        </w:tc>
        <w:tc>
          <w:tcPr>
            <w:tcW w:w="236" w:type="dxa"/>
            <w:tcBorders>
              <w:right w:val="nil"/>
            </w:tcBorders>
            <w:vAlign w:val="center"/>
          </w:tcPr>
          <w:p>
            <w:pPr>
              <w:jc w:val="center"/>
              <w:rPr>
                <w:rFonts w:hint="eastAsia"/>
                <w:sz w:val="18"/>
                <w:szCs w:val="18"/>
              </w:rPr>
            </w:pPr>
          </w:p>
        </w:tc>
        <w:tc>
          <w:tcPr>
            <w:tcW w:w="2404" w:type="dxa"/>
            <w:gridSpan w:val="3"/>
            <w:tcBorders>
              <w:top w:val="nil"/>
              <w:left w:val="nil"/>
              <w:right w:val="single" w:color="auto" w:sz="4" w:space="0"/>
            </w:tcBorders>
            <w:vAlign w:val="center"/>
          </w:tcPr>
          <w:p>
            <w:pPr>
              <w:jc w:val="center"/>
              <w:rPr>
                <w:rFonts w:hint="eastAsia"/>
                <w:sz w:val="18"/>
                <w:szCs w:val="18"/>
              </w:rPr>
            </w:pPr>
            <w:r>
              <w:rPr>
                <w:rFonts w:hint="eastAsia"/>
                <w:sz w:val="18"/>
                <w:szCs w:val="18"/>
              </w:rPr>
              <w:t>6</w:t>
            </w:r>
            <w:r>
              <w:rPr>
                <w:rFonts w:hint="eastAsia"/>
                <w:sz w:val="18"/>
                <w:szCs w:val="18"/>
                <w:lang w:val="en-US" w:eastAsia="zh-CN"/>
              </w:rPr>
              <w:t>37</w:t>
            </w:r>
            <w:r>
              <w:rPr>
                <w:rFonts w:hint="eastAsia"/>
                <w:sz w:val="18"/>
                <w:szCs w:val="18"/>
              </w:rPr>
              <w:t>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90"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rPr>
              <w:t>公用经费、基本支出控制率</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rPr>
              <w:t>诊疗服务人次</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rPr>
              <w:t>目标计划完成诊疗人次</w:t>
            </w:r>
            <w:r>
              <w:rPr>
                <w:rFonts w:hint="eastAsia"/>
                <w:sz w:val="18"/>
                <w:szCs w:val="18"/>
                <w:lang w:val="en-US" w:eastAsia="zh-CN"/>
              </w:rPr>
              <w:t>4</w:t>
            </w:r>
            <w:r>
              <w:rPr>
                <w:rFonts w:hint="eastAsia"/>
                <w:sz w:val="18"/>
                <w:szCs w:val="18"/>
              </w:rPr>
              <w:t>0万人次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90"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rPr>
              <w:t>医疗服务收入（不含药品、耗材、检 查、化验收入）占 比情况</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lang w:val="en-US" w:eastAsia="zh-CN"/>
              </w:rPr>
              <w:t>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rPr>
              <w:t>药品收入占医疗收 入（不含中药饮 片）占 比情况</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lang w:val="en-US" w:eastAsia="zh-CN"/>
              </w:rPr>
              <w:t>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lang w:eastAsia="zh-CN"/>
              </w:rPr>
              <w:t>出院患者手术占比</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lang w:val="en-US" w:eastAsia="zh-CN"/>
              </w:rPr>
              <w:t>15%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lang w:eastAsia="zh-CN"/>
              </w:rPr>
              <w:t>大型医用设备检查阳性率</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lang w:val="en-US" w:eastAsia="zh-CN"/>
              </w:rPr>
              <w:t>&gt;85%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r>
              <w:rPr>
                <w:rFonts w:hint="eastAsia"/>
                <w:sz w:val="18"/>
                <w:szCs w:val="18"/>
                <w:lang w:eastAsia="zh-CN"/>
              </w:rPr>
              <w:t>抗菌药物使用强度（</w:t>
            </w:r>
            <w:r>
              <w:rPr>
                <w:rFonts w:hint="eastAsia"/>
                <w:sz w:val="18"/>
                <w:szCs w:val="18"/>
                <w:lang w:val="en-US" w:eastAsia="zh-CN"/>
              </w:rPr>
              <w:t>DDDS</w:t>
            </w:r>
            <w:r>
              <w:rPr>
                <w:rFonts w:hint="eastAsia"/>
                <w:sz w:val="18"/>
                <w:szCs w:val="18"/>
                <w:lang w:eastAsia="zh-CN"/>
              </w:rPr>
              <w:t>）</w:t>
            </w:r>
          </w:p>
        </w:tc>
        <w:tc>
          <w:tcPr>
            <w:tcW w:w="2521" w:type="dxa"/>
            <w:gridSpan w:val="3"/>
            <w:tcBorders>
              <w:bottom w:val="single" w:color="auto" w:sz="4" w:space="0"/>
            </w:tcBorders>
            <w:vAlign w:val="center"/>
          </w:tcPr>
          <w:p>
            <w:pPr>
              <w:jc w:val="center"/>
              <w:rPr>
                <w:rFonts w:hint="eastAsia"/>
                <w:sz w:val="18"/>
                <w:szCs w:val="18"/>
              </w:rPr>
            </w:pPr>
            <w:r>
              <w:rPr>
                <w:rFonts w:hint="eastAsia"/>
                <w:sz w:val="18"/>
                <w:szCs w:val="18"/>
                <w:lang w:val="en-US" w:eastAsia="zh-CN"/>
              </w:rPr>
              <w:t>&lt;40%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Height w:val="272" w:hRule="atLeast"/>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rPr>
            </w:pPr>
          </w:p>
        </w:tc>
        <w:tc>
          <w:tcPr>
            <w:tcW w:w="2521" w:type="dxa"/>
            <w:gridSpan w:val="3"/>
            <w:tcBorders>
              <w:bottom w:val="single" w:color="auto" w:sz="4" w:space="0"/>
            </w:tcBorders>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rPr>
              <w:t>质量指标</w:t>
            </w:r>
          </w:p>
        </w:tc>
        <w:tc>
          <w:tcPr>
            <w:tcW w:w="2280" w:type="dxa"/>
            <w:gridSpan w:val="2"/>
            <w:vAlign w:val="center"/>
          </w:tcPr>
          <w:p>
            <w:pPr>
              <w:jc w:val="center"/>
              <w:rPr>
                <w:rFonts w:hint="eastAsia"/>
                <w:sz w:val="18"/>
                <w:szCs w:val="18"/>
                <w:lang w:val="en-US" w:eastAsia="zh-CN"/>
              </w:rPr>
            </w:pPr>
            <w:r>
              <w:rPr>
                <w:rFonts w:hint="eastAsia"/>
                <w:sz w:val="18"/>
                <w:szCs w:val="18"/>
                <w:lang w:eastAsia="zh-CN"/>
              </w:rPr>
              <w:t>在职人员控制率</w:t>
            </w:r>
          </w:p>
        </w:tc>
        <w:tc>
          <w:tcPr>
            <w:tcW w:w="2521" w:type="dxa"/>
            <w:gridSpan w:val="3"/>
            <w:tcBorders>
              <w:top w:val="single" w:color="auto" w:sz="4" w:space="0"/>
              <w:bottom w:val="single" w:color="auto" w:sz="4" w:space="0"/>
            </w:tcBorders>
            <w:vAlign w:val="center"/>
          </w:tcPr>
          <w:p>
            <w:pPr>
              <w:jc w:val="center"/>
              <w:rPr>
                <w:rFonts w:hint="eastAsia"/>
                <w:sz w:val="18"/>
                <w:szCs w:val="18"/>
                <w:lang w:val="en-US" w:eastAsia="zh-CN"/>
              </w:rPr>
            </w:pPr>
            <w:r>
              <w:rPr>
                <w:rFonts w:hint="default"/>
                <w:sz w:val="18"/>
                <w:szCs w:val="18"/>
                <w:lang w:val="en-US" w:eastAsia="zh-CN"/>
              </w:rPr>
              <w:t>≤</w:t>
            </w: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lang w:eastAsia="zh-CN"/>
              </w:rPr>
              <w:t>单位运转、人员经费</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eastAsia"/>
                <w:sz w:val="18"/>
                <w:szCs w:val="18"/>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lang w:eastAsia="zh-CN"/>
              </w:rPr>
              <w:t>诊疗人员治愈率</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eastAsia"/>
                <w:sz w:val="18"/>
                <w:szCs w:val="18"/>
                <w:lang w:val="en-US" w:eastAsia="zh-CN"/>
              </w:rPr>
              <w:t>90%以上</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rPr>
              <w:t>医疗服务收入（不 含药品、耗材、检 查、化验收入）</w:t>
            </w:r>
            <w:r>
              <w:rPr>
                <w:rFonts w:hint="eastAsia"/>
                <w:sz w:val="18"/>
                <w:szCs w:val="18"/>
                <w:lang w:eastAsia="zh-CN"/>
              </w:rPr>
              <w:t>占医疗收入比例</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default"/>
                <w:sz w:val="18"/>
                <w:szCs w:val="18"/>
                <w:lang w:val="en-US" w:eastAsia="zh-CN"/>
              </w:rPr>
              <w:t>≥</w:t>
            </w:r>
            <w:r>
              <w:rPr>
                <w:rFonts w:hint="eastAsia"/>
                <w:sz w:val="18"/>
                <w:szCs w:val="18"/>
                <w:lang w:val="en-US" w:eastAsia="zh-CN"/>
              </w:rPr>
              <w:t>30%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rPr>
              <w:t>药品收入占医疗收 入（不含中药饮 片）</w:t>
            </w:r>
            <w:r>
              <w:rPr>
                <w:rFonts w:hint="eastAsia"/>
                <w:sz w:val="18"/>
                <w:szCs w:val="18"/>
                <w:lang w:eastAsia="zh-CN"/>
              </w:rPr>
              <w:t>的比重</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default"/>
                <w:sz w:val="18"/>
                <w:szCs w:val="18"/>
                <w:lang w:val="en-US" w:eastAsia="zh-CN"/>
              </w:rPr>
              <w:t>≤</w:t>
            </w:r>
            <w:r>
              <w:rPr>
                <w:rFonts w:hint="eastAsia"/>
                <w:sz w:val="18"/>
                <w:szCs w:val="18"/>
                <w:lang w:val="en-US" w:eastAsia="zh-CN"/>
              </w:rPr>
              <w:t>40%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lang w:eastAsia="zh-CN"/>
              </w:rPr>
              <w:t>实院出院患者手术占比数应为上年度完成值</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eastAsia"/>
                <w:sz w:val="18"/>
                <w:szCs w:val="18"/>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lang w:eastAsia="zh-CN"/>
              </w:rPr>
              <w:t>大型医用设备检查病人阳性率应大于规定目标值</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default"/>
                <w:sz w:val="18"/>
                <w:szCs w:val="18"/>
                <w:lang w:val="en-US" w:eastAsia="zh-CN"/>
              </w:rPr>
              <w:t>≥</w:t>
            </w:r>
            <w:r>
              <w:rPr>
                <w:rFonts w:hint="eastAsia"/>
                <w:sz w:val="18"/>
                <w:szCs w:val="18"/>
                <w:lang w:val="en-US" w:eastAsia="zh-CN"/>
              </w:rPr>
              <w:t>95%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lang w:eastAsia="zh-CN"/>
              </w:rPr>
              <w:t>抗菌药物使用强度（</w:t>
            </w:r>
            <w:r>
              <w:rPr>
                <w:rFonts w:hint="eastAsia"/>
                <w:sz w:val="18"/>
                <w:szCs w:val="18"/>
                <w:lang w:val="en-US" w:eastAsia="zh-CN"/>
              </w:rPr>
              <w:t>DDDS</w:t>
            </w:r>
            <w:r>
              <w:rPr>
                <w:rFonts w:hint="eastAsia"/>
                <w:sz w:val="18"/>
                <w:szCs w:val="18"/>
                <w:lang w:eastAsia="zh-CN"/>
              </w:rPr>
              <w:t>）应小于目标值</w:t>
            </w:r>
          </w:p>
        </w:tc>
        <w:tc>
          <w:tcPr>
            <w:tcW w:w="2521" w:type="dxa"/>
            <w:gridSpan w:val="3"/>
            <w:tcBorders>
              <w:top w:val="single" w:color="auto" w:sz="4" w:space="0"/>
            </w:tcBorders>
            <w:vAlign w:val="center"/>
          </w:tcPr>
          <w:p>
            <w:pPr>
              <w:jc w:val="center"/>
              <w:rPr>
                <w:rFonts w:hint="eastAsia"/>
                <w:sz w:val="18"/>
                <w:szCs w:val="18"/>
                <w:lang w:val="en-US" w:eastAsia="zh-CN"/>
              </w:rPr>
            </w:pPr>
            <w:r>
              <w:rPr>
                <w:rFonts w:hint="default"/>
                <w:sz w:val="18"/>
                <w:szCs w:val="18"/>
                <w:lang w:val="en-US" w:eastAsia="zh-CN"/>
              </w:rPr>
              <w:t>≤</w:t>
            </w:r>
            <w:r>
              <w:rPr>
                <w:rFonts w:hint="eastAsia"/>
                <w:sz w:val="18"/>
                <w:szCs w:val="18"/>
                <w:lang w:val="en-US" w:eastAsia="zh-CN"/>
              </w:rPr>
              <w:t>35%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restart"/>
            <w:tcBorders>
              <w:left w:val="single" w:color="auto" w:sz="4" w:space="0"/>
            </w:tcBorders>
            <w:vAlign w:val="center"/>
          </w:tcPr>
          <w:p>
            <w:pPr>
              <w:jc w:val="center"/>
              <w:rPr>
                <w:rFonts w:hint="eastAsia"/>
                <w:sz w:val="18"/>
                <w:szCs w:val="18"/>
              </w:rPr>
            </w:pPr>
            <w:r>
              <w:rPr>
                <w:rFonts w:hint="eastAsia"/>
                <w:sz w:val="18"/>
                <w:szCs w:val="18"/>
                <w:lang w:eastAsia="zh-CN"/>
              </w:rPr>
              <w:t>成本</w:t>
            </w:r>
            <w:r>
              <w:rPr>
                <w:rFonts w:hint="eastAsia"/>
                <w:sz w:val="18"/>
                <w:szCs w:val="18"/>
              </w:rPr>
              <w:t>指标</w:t>
            </w:r>
          </w:p>
        </w:tc>
        <w:tc>
          <w:tcPr>
            <w:tcW w:w="2280" w:type="dxa"/>
            <w:gridSpan w:val="2"/>
            <w:vAlign w:val="center"/>
          </w:tcPr>
          <w:p>
            <w:pPr>
              <w:jc w:val="center"/>
              <w:rPr>
                <w:rFonts w:hint="eastAsia"/>
                <w:sz w:val="18"/>
                <w:szCs w:val="18"/>
                <w:lang w:val="en-US" w:eastAsia="zh-CN"/>
              </w:rPr>
            </w:pPr>
            <w:r>
              <w:rPr>
                <w:rFonts w:hint="eastAsia"/>
                <w:sz w:val="18"/>
                <w:szCs w:val="18"/>
                <w:lang w:eastAsia="zh-CN"/>
              </w:rPr>
              <w:t>人员经费</w:t>
            </w:r>
          </w:p>
        </w:tc>
        <w:tc>
          <w:tcPr>
            <w:tcW w:w="2521" w:type="dxa"/>
            <w:gridSpan w:val="3"/>
            <w:vAlign w:val="center"/>
          </w:tcPr>
          <w:p>
            <w:pPr>
              <w:jc w:val="center"/>
              <w:rPr>
                <w:rFonts w:hint="eastAsia"/>
                <w:sz w:val="18"/>
                <w:szCs w:val="18"/>
                <w:lang w:val="en-US" w:eastAsia="zh-CN"/>
              </w:rPr>
            </w:pPr>
            <w:r>
              <w:rPr>
                <w:rFonts w:hint="default"/>
                <w:sz w:val="18"/>
                <w:szCs w:val="18"/>
                <w:lang w:val="en-US" w:eastAsia="zh-CN"/>
              </w:rPr>
              <w:t>≤</w:t>
            </w:r>
            <w:r>
              <w:rPr>
                <w:rFonts w:hint="eastAsia"/>
                <w:sz w:val="18"/>
                <w:szCs w:val="18"/>
                <w:lang w:val="en-US" w:eastAsia="zh-CN"/>
              </w:rPr>
              <w:t>253</w:t>
            </w:r>
            <w:r>
              <w:rPr>
                <w:rFonts w:hint="eastAsia"/>
                <w:sz w:val="18"/>
                <w:szCs w:val="18"/>
                <w:lang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val="en-US" w:eastAsia="zh-CN"/>
              </w:rPr>
            </w:pPr>
            <w:r>
              <w:rPr>
                <w:rFonts w:hint="eastAsia"/>
                <w:sz w:val="18"/>
                <w:szCs w:val="18"/>
                <w:lang w:eastAsia="zh-CN"/>
              </w:rPr>
              <w:t>12</w:t>
            </w:r>
            <w:r>
              <w:rPr>
                <w:rFonts w:hint="eastAsia"/>
                <w:sz w:val="18"/>
                <w:szCs w:val="18"/>
                <w:lang w:val="en-US" w:eastAsia="zh-CN"/>
              </w:rPr>
              <w:t>0</w:t>
            </w:r>
            <w:r>
              <w:rPr>
                <w:rFonts w:hint="eastAsia"/>
                <w:sz w:val="18"/>
                <w:szCs w:val="18"/>
                <w:lang w:eastAsia="zh-CN"/>
              </w:rPr>
              <w:t>急救和血库专项</w:t>
            </w:r>
          </w:p>
        </w:tc>
        <w:tc>
          <w:tcPr>
            <w:tcW w:w="2521" w:type="dxa"/>
            <w:gridSpan w:val="3"/>
            <w:vAlign w:val="center"/>
          </w:tcPr>
          <w:p>
            <w:pPr>
              <w:jc w:val="center"/>
              <w:rPr>
                <w:rFonts w:hint="eastAsia"/>
                <w:sz w:val="18"/>
                <w:szCs w:val="18"/>
                <w:lang w:val="en-US" w:eastAsia="zh-CN"/>
              </w:rPr>
            </w:pPr>
            <w:r>
              <w:rPr>
                <w:rFonts w:hint="eastAsia"/>
                <w:sz w:val="18"/>
                <w:szCs w:val="18"/>
                <w:lang w:val="en-US" w:eastAsia="zh-CN"/>
              </w:rPr>
              <w:t>3</w:t>
            </w:r>
            <w:r>
              <w:rPr>
                <w:rFonts w:hint="eastAsia"/>
                <w:sz w:val="18"/>
                <w:szCs w:val="18"/>
                <w:lang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vMerge w:val="continue"/>
            <w:tcBorders>
              <w:left w:val="single" w:color="auto" w:sz="4" w:space="0"/>
            </w:tcBorders>
            <w:vAlign w:val="center"/>
          </w:tcPr>
          <w:p>
            <w:pPr>
              <w:jc w:val="center"/>
              <w:rPr>
                <w:rFonts w:hint="eastAsia"/>
                <w:sz w:val="18"/>
                <w:szCs w:val="18"/>
              </w:rPr>
            </w:pPr>
          </w:p>
        </w:tc>
        <w:tc>
          <w:tcPr>
            <w:tcW w:w="2280" w:type="dxa"/>
            <w:gridSpan w:val="2"/>
            <w:vAlign w:val="center"/>
          </w:tcPr>
          <w:p>
            <w:pPr>
              <w:jc w:val="center"/>
              <w:rPr>
                <w:rFonts w:hint="eastAsia"/>
                <w:sz w:val="18"/>
                <w:szCs w:val="18"/>
                <w:lang w:eastAsia="zh-CN"/>
              </w:rPr>
            </w:pPr>
            <w:r>
              <w:rPr>
                <w:rFonts w:hint="eastAsia"/>
                <w:sz w:val="18"/>
                <w:szCs w:val="18"/>
                <w:lang w:eastAsia="zh-CN"/>
              </w:rPr>
              <w:t>武警中队驻地医疗费</w:t>
            </w:r>
          </w:p>
        </w:tc>
        <w:tc>
          <w:tcPr>
            <w:tcW w:w="2521" w:type="dxa"/>
            <w:gridSpan w:val="3"/>
            <w:vAlign w:val="center"/>
          </w:tcPr>
          <w:p>
            <w:pPr>
              <w:jc w:val="center"/>
              <w:rPr>
                <w:rFonts w:hint="default"/>
                <w:sz w:val="18"/>
                <w:szCs w:val="18"/>
                <w:lang w:val="en-US" w:eastAsia="zh-CN"/>
              </w:rPr>
            </w:pPr>
            <w:r>
              <w:rPr>
                <w:rFonts w:hint="eastAsia"/>
                <w:sz w:val="18"/>
                <w:szCs w:val="18"/>
                <w:lang w:val="en-US" w:eastAsia="zh-CN"/>
              </w:rPr>
              <w:t>5万元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continue"/>
            <w:tcBorders>
              <w:right w:val="single" w:color="auto" w:sz="4" w:space="0"/>
            </w:tcBorders>
            <w:vAlign w:val="center"/>
          </w:tcPr>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lang w:eastAsia="zh-CN"/>
              </w:rPr>
              <w:t>时效</w:t>
            </w:r>
            <w:r>
              <w:rPr>
                <w:rFonts w:hint="eastAsia"/>
                <w:sz w:val="18"/>
                <w:szCs w:val="18"/>
              </w:rPr>
              <w:t>指标</w:t>
            </w:r>
          </w:p>
        </w:tc>
        <w:tc>
          <w:tcPr>
            <w:tcW w:w="2280" w:type="dxa"/>
            <w:gridSpan w:val="2"/>
            <w:vAlign w:val="center"/>
          </w:tcPr>
          <w:p>
            <w:pPr>
              <w:jc w:val="center"/>
              <w:rPr>
                <w:rFonts w:hint="eastAsia"/>
                <w:sz w:val="18"/>
                <w:szCs w:val="18"/>
                <w:lang w:val="en-US" w:eastAsia="zh-CN"/>
              </w:rPr>
            </w:pPr>
            <w:r>
              <w:rPr>
                <w:rFonts w:hint="eastAsia"/>
                <w:sz w:val="18"/>
                <w:szCs w:val="18"/>
                <w:lang w:eastAsia="zh-CN"/>
              </w:rPr>
              <w:t>计划完成时间</w:t>
            </w:r>
          </w:p>
        </w:tc>
        <w:tc>
          <w:tcPr>
            <w:tcW w:w="2521" w:type="dxa"/>
            <w:gridSpan w:val="3"/>
            <w:vAlign w:val="center"/>
          </w:tcPr>
          <w:p>
            <w:pPr>
              <w:jc w:val="center"/>
              <w:rPr>
                <w:rFonts w:hint="eastAsia"/>
                <w:sz w:val="18"/>
                <w:szCs w:val="18"/>
                <w:lang w:val="en-US" w:eastAsia="zh-CN"/>
              </w:rPr>
            </w:pPr>
            <w:r>
              <w:rPr>
                <w:rFonts w:hint="eastAsia"/>
                <w:sz w:val="18"/>
                <w:szCs w:val="18"/>
                <w:lang w:eastAsia="zh-CN"/>
              </w:rPr>
              <w:t>202</w:t>
            </w:r>
            <w:r>
              <w:rPr>
                <w:rFonts w:hint="eastAsia"/>
                <w:sz w:val="18"/>
                <w:szCs w:val="18"/>
                <w:lang w:val="en-US" w:eastAsia="zh-CN"/>
              </w:rPr>
              <w:t>2</w:t>
            </w:r>
            <w:r>
              <w:rPr>
                <w:rFonts w:hint="eastAsia"/>
                <w:sz w:val="18"/>
                <w:szCs w:val="18"/>
                <w:lang w:eastAsia="zh-CN"/>
              </w:rPr>
              <w:t>年1月-202</w:t>
            </w:r>
            <w:r>
              <w:rPr>
                <w:rFonts w:hint="eastAsia"/>
                <w:sz w:val="18"/>
                <w:szCs w:val="18"/>
                <w:lang w:val="en-US" w:eastAsia="zh-CN"/>
              </w:rPr>
              <w:t>2</w:t>
            </w:r>
            <w:r>
              <w:rPr>
                <w:rFonts w:hint="eastAsia"/>
                <w:sz w:val="18"/>
                <w:szCs w:val="18"/>
                <w:lang w:eastAsia="zh-CN"/>
              </w:rPr>
              <w:t>年12月</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rPr>
            </w:pPr>
          </w:p>
        </w:tc>
        <w:tc>
          <w:tcPr>
            <w:tcW w:w="1065" w:type="dxa"/>
            <w:vMerge w:val="restart"/>
            <w:tcBorders>
              <w:right w:val="single" w:color="auto" w:sz="4" w:space="0"/>
            </w:tcBorders>
            <w:vAlign w:val="center"/>
          </w:tcPr>
          <w:p>
            <w:pPr>
              <w:jc w:val="center"/>
              <w:rPr>
                <w:rFonts w:hint="eastAsia"/>
                <w:sz w:val="18"/>
                <w:szCs w:val="18"/>
              </w:rPr>
            </w:pPr>
            <w:r>
              <w:rPr>
                <w:rFonts w:hint="eastAsia"/>
                <w:sz w:val="18"/>
                <w:szCs w:val="18"/>
              </w:rPr>
              <w:t>效益指标</w:t>
            </w:r>
          </w:p>
          <w:p>
            <w:pPr>
              <w:jc w:val="center"/>
              <w:rPr>
                <w:rFonts w:hint="eastAsia"/>
                <w:sz w:val="18"/>
                <w:szCs w:val="18"/>
              </w:rPr>
            </w:pPr>
          </w:p>
        </w:tc>
        <w:tc>
          <w:tcPr>
            <w:tcW w:w="1665" w:type="dxa"/>
            <w:tcBorders>
              <w:left w:val="single" w:color="auto" w:sz="4" w:space="0"/>
            </w:tcBorders>
            <w:vAlign w:val="center"/>
          </w:tcPr>
          <w:p>
            <w:pPr>
              <w:jc w:val="center"/>
              <w:rPr>
                <w:rFonts w:hint="eastAsia"/>
                <w:sz w:val="18"/>
                <w:szCs w:val="18"/>
              </w:rPr>
            </w:pPr>
            <w:r>
              <w:rPr>
                <w:rFonts w:hint="eastAsia"/>
                <w:sz w:val="18"/>
                <w:szCs w:val="18"/>
              </w:rPr>
              <w:t>经济效</w:t>
            </w:r>
          </w:p>
          <w:p>
            <w:pPr>
              <w:jc w:val="center"/>
              <w:rPr>
                <w:rFonts w:hint="eastAsia"/>
                <w:sz w:val="18"/>
                <w:szCs w:val="18"/>
              </w:rPr>
            </w:pPr>
            <w:r>
              <w:rPr>
                <w:rFonts w:hint="eastAsia"/>
                <w:sz w:val="18"/>
                <w:szCs w:val="18"/>
              </w:rPr>
              <w:t>率指标</w:t>
            </w:r>
          </w:p>
        </w:tc>
        <w:tc>
          <w:tcPr>
            <w:tcW w:w="2280" w:type="dxa"/>
            <w:gridSpan w:val="2"/>
            <w:vAlign w:val="center"/>
          </w:tcPr>
          <w:p>
            <w:pPr>
              <w:jc w:val="center"/>
              <w:rPr>
                <w:rFonts w:hint="eastAsia"/>
                <w:sz w:val="18"/>
                <w:szCs w:val="18"/>
                <w:lang w:val="en-US" w:eastAsia="zh-CN"/>
              </w:rPr>
            </w:pPr>
            <w:r>
              <w:rPr>
                <w:rFonts w:hint="eastAsia"/>
                <w:sz w:val="18"/>
                <w:szCs w:val="18"/>
                <w:lang w:eastAsia="zh-CN"/>
              </w:rPr>
              <w:t>医疗收入</w:t>
            </w:r>
          </w:p>
        </w:tc>
        <w:tc>
          <w:tcPr>
            <w:tcW w:w="2521" w:type="dxa"/>
            <w:gridSpan w:val="3"/>
            <w:vAlign w:val="center"/>
          </w:tcPr>
          <w:p>
            <w:pPr>
              <w:jc w:val="center"/>
              <w:rPr>
                <w:rFonts w:hint="eastAsia"/>
                <w:sz w:val="18"/>
                <w:szCs w:val="18"/>
                <w:lang w:val="en-US" w:eastAsia="zh-CN"/>
              </w:rPr>
            </w:pPr>
            <w:r>
              <w:rPr>
                <w:rFonts w:hint="eastAsia"/>
                <w:sz w:val="18"/>
                <w:szCs w:val="18"/>
                <w:lang w:eastAsia="zh-CN"/>
              </w:rPr>
              <w:t>逐年增长</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lang w:eastAsia="zh-CN"/>
              </w:rPr>
            </w:pPr>
          </w:p>
        </w:tc>
        <w:tc>
          <w:tcPr>
            <w:tcW w:w="1065" w:type="dxa"/>
            <w:vMerge w:val="continue"/>
            <w:tcBorders>
              <w:right w:val="single" w:color="auto" w:sz="4" w:space="0"/>
            </w:tcBorders>
            <w:vAlign w:val="center"/>
          </w:tcPr>
          <w:p>
            <w:pPr>
              <w:jc w:val="center"/>
              <w:rPr>
                <w:rFonts w:hint="eastAsia"/>
                <w:sz w:val="18"/>
                <w:szCs w:val="18"/>
                <w:lang w:eastAsia="zh-CN"/>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社会效</w:t>
            </w:r>
          </w:p>
          <w:p>
            <w:pPr>
              <w:jc w:val="center"/>
              <w:rPr>
                <w:rFonts w:hint="eastAsia"/>
                <w:sz w:val="18"/>
                <w:szCs w:val="18"/>
                <w:lang w:eastAsia="zh-CN"/>
              </w:rPr>
            </w:pPr>
            <w:r>
              <w:rPr>
                <w:rFonts w:hint="eastAsia"/>
                <w:sz w:val="18"/>
                <w:szCs w:val="18"/>
                <w:lang w:eastAsia="zh-CN"/>
              </w:rPr>
              <w:t>益指标</w:t>
            </w:r>
          </w:p>
        </w:tc>
        <w:tc>
          <w:tcPr>
            <w:tcW w:w="2280" w:type="dxa"/>
            <w:gridSpan w:val="2"/>
            <w:vAlign w:val="center"/>
          </w:tcPr>
          <w:p>
            <w:pPr>
              <w:jc w:val="center"/>
              <w:rPr>
                <w:rFonts w:hint="eastAsia"/>
                <w:sz w:val="18"/>
                <w:szCs w:val="18"/>
                <w:lang w:eastAsia="zh-CN"/>
              </w:rPr>
            </w:pPr>
            <w:r>
              <w:rPr>
                <w:rFonts w:hint="eastAsia"/>
                <w:sz w:val="18"/>
                <w:szCs w:val="18"/>
                <w:lang w:eastAsia="zh-CN"/>
              </w:rPr>
              <w:t>提供满意的医疗卫生服务</w:t>
            </w:r>
          </w:p>
        </w:tc>
        <w:tc>
          <w:tcPr>
            <w:tcW w:w="2521" w:type="dxa"/>
            <w:gridSpan w:val="3"/>
            <w:vAlign w:val="center"/>
          </w:tcPr>
          <w:p>
            <w:pPr>
              <w:jc w:val="center"/>
              <w:rPr>
                <w:rFonts w:hint="eastAsia"/>
                <w:sz w:val="18"/>
                <w:szCs w:val="18"/>
                <w:lang w:eastAsia="zh-CN"/>
              </w:rPr>
            </w:pPr>
            <w:r>
              <w:rPr>
                <w:rFonts w:hint="eastAsia"/>
                <w:sz w:val="18"/>
                <w:szCs w:val="18"/>
                <w:lang w:eastAsia="zh-CN"/>
              </w:rPr>
              <w:t>创建和谐科室、创建和谐的医患关系的理念贯彻到每位职工的服务意识中</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542" w:type="dxa"/>
            <w:vMerge w:val="continue"/>
            <w:vAlign w:val="center"/>
          </w:tcPr>
          <w:p>
            <w:pPr>
              <w:jc w:val="center"/>
              <w:rPr>
                <w:rFonts w:hint="eastAsia"/>
                <w:sz w:val="18"/>
                <w:szCs w:val="18"/>
                <w:lang w:eastAsia="zh-CN"/>
              </w:rPr>
            </w:pPr>
          </w:p>
        </w:tc>
        <w:tc>
          <w:tcPr>
            <w:tcW w:w="1065" w:type="dxa"/>
            <w:vMerge w:val="continue"/>
            <w:tcBorders>
              <w:right w:val="single" w:color="auto" w:sz="4" w:space="0"/>
            </w:tcBorders>
            <w:vAlign w:val="center"/>
          </w:tcPr>
          <w:p>
            <w:pPr>
              <w:jc w:val="center"/>
              <w:rPr>
                <w:rFonts w:hint="eastAsia"/>
                <w:sz w:val="18"/>
                <w:szCs w:val="18"/>
                <w:lang w:eastAsia="zh-CN"/>
              </w:rPr>
            </w:pPr>
          </w:p>
        </w:tc>
        <w:tc>
          <w:tcPr>
            <w:tcW w:w="1665" w:type="dxa"/>
            <w:tcBorders>
              <w:left w:val="single" w:color="auto" w:sz="4" w:space="0"/>
            </w:tcBorders>
            <w:vAlign w:val="center"/>
          </w:tcPr>
          <w:p>
            <w:pPr>
              <w:jc w:val="center"/>
              <w:rPr>
                <w:rFonts w:hint="eastAsia"/>
                <w:sz w:val="18"/>
                <w:szCs w:val="18"/>
                <w:lang w:eastAsia="zh-CN"/>
              </w:rPr>
            </w:pPr>
            <w:r>
              <w:rPr>
                <w:rFonts w:hint="eastAsia"/>
                <w:sz w:val="18"/>
                <w:szCs w:val="18"/>
                <w:lang w:eastAsia="zh-CN"/>
              </w:rPr>
              <w:t>生态效</w:t>
            </w:r>
          </w:p>
          <w:p>
            <w:pPr>
              <w:jc w:val="center"/>
              <w:rPr>
                <w:rFonts w:hint="eastAsia"/>
                <w:sz w:val="18"/>
                <w:szCs w:val="18"/>
                <w:lang w:eastAsia="zh-CN"/>
              </w:rPr>
            </w:pPr>
            <w:r>
              <w:rPr>
                <w:rFonts w:hint="eastAsia"/>
                <w:sz w:val="18"/>
                <w:szCs w:val="18"/>
                <w:lang w:eastAsia="zh-CN"/>
              </w:rPr>
              <w:t>益指标</w:t>
            </w:r>
          </w:p>
        </w:tc>
        <w:tc>
          <w:tcPr>
            <w:tcW w:w="2280" w:type="dxa"/>
            <w:gridSpan w:val="2"/>
            <w:vAlign w:val="center"/>
          </w:tcPr>
          <w:p>
            <w:pPr>
              <w:jc w:val="center"/>
              <w:rPr>
                <w:rFonts w:hint="eastAsia"/>
                <w:sz w:val="18"/>
                <w:szCs w:val="18"/>
                <w:lang w:eastAsia="zh-CN"/>
              </w:rPr>
            </w:pPr>
            <w:r>
              <w:rPr>
                <w:rFonts w:hint="eastAsia"/>
                <w:sz w:val="18"/>
                <w:szCs w:val="18"/>
                <w:lang w:eastAsia="zh-CN"/>
              </w:rPr>
              <w:t>医疗废弃物专业公司集中处理，保护生态环境。</w:t>
            </w:r>
          </w:p>
        </w:tc>
        <w:tc>
          <w:tcPr>
            <w:tcW w:w="236" w:type="dxa"/>
            <w:tcBorders>
              <w:right w:val="nil"/>
            </w:tcBorders>
            <w:vAlign w:val="center"/>
          </w:tcPr>
          <w:p>
            <w:pPr>
              <w:jc w:val="center"/>
              <w:rPr>
                <w:rFonts w:hint="eastAsia"/>
                <w:sz w:val="18"/>
                <w:szCs w:val="18"/>
                <w:lang w:eastAsia="zh-CN"/>
              </w:rPr>
            </w:pPr>
          </w:p>
        </w:tc>
        <w:tc>
          <w:tcPr>
            <w:tcW w:w="2404" w:type="dxa"/>
            <w:gridSpan w:val="3"/>
            <w:tcBorders>
              <w:left w:val="nil"/>
            </w:tcBorders>
            <w:vAlign w:val="center"/>
          </w:tcPr>
          <w:p>
            <w:pPr>
              <w:jc w:val="center"/>
              <w:rPr>
                <w:rFonts w:hint="eastAsia"/>
                <w:sz w:val="18"/>
                <w:szCs w:val="18"/>
                <w:lang w:eastAsia="zh-CN"/>
              </w:rPr>
            </w:pPr>
            <w:r>
              <w:rPr>
                <w:rFonts w:hint="eastAsia"/>
                <w:sz w:val="18"/>
                <w:szCs w:val="18"/>
                <w:lang w:eastAsia="zh-CN"/>
              </w:rPr>
              <w:t>医疗废物由衡兴公司统一拖运集中烧毁处理，以保障医疗废物对环境无污染</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lang w:eastAsia="zh-CN"/>
              </w:rPr>
            </w:pPr>
          </w:p>
        </w:tc>
        <w:tc>
          <w:tcPr>
            <w:tcW w:w="1065" w:type="dxa"/>
            <w:vMerge w:val="continue"/>
            <w:tcBorders>
              <w:right w:val="single" w:color="auto" w:sz="4" w:space="0"/>
            </w:tcBorders>
            <w:vAlign w:val="center"/>
          </w:tcPr>
          <w:p>
            <w:pPr>
              <w:jc w:val="center"/>
              <w:rPr>
                <w:rFonts w:hint="eastAsia"/>
                <w:sz w:val="18"/>
                <w:szCs w:val="18"/>
                <w:lang w:eastAsia="zh-CN"/>
              </w:rPr>
            </w:pPr>
          </w:p>
        </w:tc>
        <w:tc>
          <w:tcPr>
            <w:tcW w:w="1665" w:type="dxa"/>
            <w:vMerge w:val="restart"/>
            <w:tcBorders>
              <w:left w:val="single" w:color="auto" w:sz="4" w:space="0"/>
            </w:tcBorders>
            <w:vAlign w:val="center"/>
          </w:tcPr>
          <w:p>
            <w:pPr>
              <w:jc w:val="center"/>
              <w:rPr>
                <w:rFonts w:hint="eastAsia"/>
                <w:sz w:val="18"/>
                <w:szCs w:val="18"/>
                <w:lang w:eastAsia="zh-CN"/>
              </w:rPr>
            </w:pPr>
            <w:r>
              <w:rPr>
                <w:rFonts w:hint="eastAsia"/>
                <w:sz w:val="18"/>
                <w:szCs w:val="18"/>
                <w:lang w:eastAsia="zh-CN"/>
              </w:rPr>
              <w:t>可持续影</w:t>
            </w:r>
          </w:p>
          <w:p>
            <w:pPr>
              <w:jc w:val="center"/>
              <w:rPr>
                <w:rFonts w:hint="eastAsia"/>
                <w:sz w:val="18"/>
                <w:szCs w:val="18"/>
                <w:lang w:eastAsia="zh-CN"/>
              </w:rPr>
            </w:pPr>
            <w:r>
              <w:rPr>
                <w:rFonts w:hint="eastAsia"/>
                <w:sz w:val="18"/>
                <w:szCs w:val="18"/>
                <w:lang w:eastAsia="zh-CN"/>
              </w:rPr>
              <w:t>响指标</w:t>
            </w:r>
          </w:p>
        </w:tc>
        <w:tc>
          <w:tcPr>
            <w:tcW w:w="2280" w:type="dxa"/>
            <w:gridSpan w:val="2"/>
            <w:vAlign w:val="center"/>
          </w:tcPr>
          <w:p>
            <w:pPr>
              <w:jc w:val="center"/>
              <w:rPr>
                <w:rFonts w:hint="eastAsia"/>
                <w:sz w:val="18"/>
                <w:szCs w:val="18"/>
                <w:lang w:val="en-US" w:eastAsia="zh-CN"/>
              </w:rPr>
            </w:pPr>
            <w:r>
              <w:rPr>
                <w:rFonts w:hint="eastAsia"/>
                <w:sz w:val="18"/>
                <w:szCs w:val="18"/>
                <w:lang w:val="zh-CN" w:eastAsia="zh-CN"/>
              </w:rPr>
              <w:t>医疗质量安全</w:t>
            </w:r>
          </w:p>
        </w:tc>
        <w:tc>
          <w:tcPr>
            <w:tcW w:w="2521" w:type="dxa"/>
            <w:gridSpan w:val="3"/>
            <w:vAlign w:val="center"/>
          </w:tcPr>
          <w:p>
            <w:pPr>
              <w:jc w:val="center"/>
              <w:rPr>
                <w:rFonts w:hint="eastAsia"/>
                <w:sz w:val="18"/>
                <w:szCs w:val="18"/>
                <w:lang w:val="en-US" w:eastAsia="zh-CN"/>
              </w:rPr>
            </w:pPr>
            <w:r>
              <w:rPr>
                <w:rFonts w:hint="eastAsia"/>
                <w:sz w:val="18"/>
                <w:szCs w:val="18"/>
                <w:lang w:val="zh-CN" w:eastAsia="zh-CN"/>
              </w:rPr>
              <w:t>逐步提升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lang w:eastAsia="zh-CN"/>
              </w:rPr>
            </w:pPr>
          </w:p>
        </w:tc>
        <w:tc>
          <w:tcPr>
            <w:tcW w:w="1065" w:type="dxa"/>
            <w:vMerge w:val="continue"/>
            <w:tcBorders>
              <w:right w:val="single" w:color="auto" w:sz="4" w:space="0"/>
            </w:tcBorders>
            <w:vAlign w:val="center"/>
          </w:tcPr>
          <w:p>
            <w:pPr>
              <w:jc w:val="center"/>
              <w:rPr>
                <w:rFonts w:hint="eastAsia"/>
                <w:sz w:val="18"/>
                <w:szCs w:val="18"/>
                <w:lang w:eastAsia="zh-CN"/>
              </w:rPr>
            </w:pPr>
          </w:p>
        </w:tc>
        <w:tc>
          <w:tcPr>
            <w:tcW w:w="1665" w:type="dxa"/>
            <w:vMerge w:val="continue"/>
            <w:tcBorders>
              <w:left w:val="single" w:color="auto" w:sz="4" w:space="0"/>
            </w:tcBorders>
            <w:vAlign w:val="center"/>
          </w:tcPr>
          <w:p>
            <w:pPr>
              <w:jc w:val="center"/>
              <w:rPr>
                <w:rFonts w:hint="eastAsia"/>
                <w:sz w:val="18"/>
                <w:szCs w:val="18"/>
                <w:lang w:eastAsia="zh-CN"/>
              </w:rPr>
            </w:pPr>
          </w:p>
        </w:tc>
        <w:tc>
          <w:tcPr>
            <w:tcW w:w="2280" w:type="dxa"/>
            <w:gridSpan w:val="2"/>
            <w:vAlign w:val="center"/>
          </w:tcPr>
          <w:p>
            <w:pPr>
              <w:jc w:val="center"/>
              <w:rPr>
                <w:rFonts w:hint="eastAsia"/>
                <w:sz w:val="18"/>
                <w:szCs w:val="18"/>
                <w:lang w:val="en-US" w:eastAsia="zh-CN"/>
              </w:rPr>
            </w:pPr>
            <w:r>
              <w:rPr>
                <w:rFonts w:hint="eastAsia"/>
                <w:sz w:val="18"/>
                <w:szCs w:val="18"/>
                <w:lang w:val="zh-CN" w:eastAsia="zh-CN"/>
              </w:rPr>
              <w:t>医疗服务保障能力</w:t>
            </w:r>
          </w:p>
        </w:tc>
        <w:tc>
          <w:tcPr>
            <w:tcW w:w="2521" w:type="dxa"/>
            <w:gridSpan w:val="3"/>
            <w:vAlign w:val="center"/>
          </w:tcPr>
          <w:p>
            <w:pPr>
              <w:jc w:val="center"/>
              <w:rPr>
                <w:rFonts w:hint="eastAsia"/>
                <w:sz w:val="18"/>
                <w:szCs w:val="18"/>
                <w:lang w:val="en-US" w:eastAsia="zh-CN"/>
              </w:rPr>
            </w:pPr>
            <w:r>
              <w:rPr>
                <w:rFonts w:hint="eastAsia"/>
                <w:sz w:val="18"/>
                <w:szCs w:val="18"/>
                <w:lang w:val="zh-CN" w:eastAsia="zh-CN"/>
              </w:rPr>
              <w:t>逐步提升</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lang w:eastAsia="zh-CN"/>
              </w:rPr>
            </w:pPr>
          </w:p>
        </w:tc>
        <w:tc>
          <w:tcPr>
            <w:tcW w:w="1065" w:type="dxa"/>
            <w:vMerge w:val="continue"/>
            <w:tcBorders>
              <w:right w:val="single" w:color="auto" w:sz="4" w:space="0"/>
            </w:tcBorders>
            <w:vAlign w:val="center"/>
          </w:tcPr>
          <w:p>
            <w:pPr>
              <w:jc w:val="center"/>
              <w:rPr>
                <w:rFonts w:hint="eastAsia"/>
                <w:sz w:val="18"/>
                <w:szCs w:val="18"/>
                <w:lang w:eastAsia="zh-CN"/>
              </w:rPr>
            </w:pPr>
          </w:p>
        </w:tc>
        <w:tc>
          <w:tcPr>
            <w:tcW w:w="1665" w:type="dxa"/>
            <w:vMerge w:val="restart"/>
            <w:tcBorders>
              <w:left w:val="single" w:color="auto" w:sz="4" w:space="0"/>
            </w:tcBorders>
            <w:vAlign w:val="center"/>
          </w:tcPr>
          <w:p>
            <w:pPr>
              <w:jc w:val="center"/>
              <w:rPr>
                <w:rFonts w:hint="eastAsia"/>
                <w:sz w:val="18"/>
                <w:szCs w:val="18"/>
                <w:lang w:eastAsia="zh-CN"/>
              </w:rPr>
            </w:pPr>
            <w:r>
              <w:rPr>
                <w:rFonts w:hint="eastAsia"/>
                <w:sz w:val="18"/>
                <w:szCs w:val="18"/>
                <w:lang w:eastAsia="zh-CN"/>
              </w:rPr>
              <w:t>社会公众或服务</w:t>
            </w:r>
          </w:p>
          <w:p>
            <w:pPr>
              <w:jc w:val="center"/>
              <w:rPr>
                <w:rFonts w:hint="eastAsia"/>
                <w:sz w:val="18"/>
                <w:szCs w:val="18"/>
                <w:lang w:eastAsia="zh-CN"/>
              </w:rPr>
            </w:pPr>
            <w:r>
              <w:rPr>
                <w:rFonts w:hint="eastAsia"/>
                <w:sz w:val="18"/>
                <w:szCs w:val="18"/>
                <w:lang w:eastAsia="zh-CN"/>
              </w:rPr>
              <w:t>对象满意度</w:t>
            </w:r>
          </w:p>
        </w:tc>
        <w:tc>
          <w:tcPr>
            <w:tcW w:w="2280" w:type="dxa"/>
            <w:gridSpan w:val="2"/>
            <w:vAlign w:val="center"/>
          </w:tcPr>
          <w:p>
            <w:pPr>
              <w:jc w:val="center"/>
              <w:rPr>
                <w:rFonts w:hint="eastAsia"/>
                <w:sz w:val="18"/>
                <w:szCs w:val="18"/>
                <w:lang w:eastAsia="zh-CN"/>
              </w:rPr>
            </w:pPr>
            <w:r>
              <w:rPr>
                <w:rFonts w:hint="eastAsia"/>
                <w:sz w:val="18"/>
                <w:szCs w:val="18"/>
                <w:lang w:val="zh-CN" w:eastAsia="zh-CN"/>
              </w:rPr>
              <w:t>医务人员</w:t>
            </w:r>
          </w:p>
        </w:tc>
        <w:tc>
          <w:tcPr>
            <w:tcW w:w="2521" w:type="dxa"/>
            <w:gridSpan w:val="3"/>
            <w:vAlign w:val="center"/>
          </w:tcPr>
          <w:p>
            <w:pPr>
              <w:jc w:val="center"/>
              <w:rPr>
                <w:rFonts w:hint="eastAsia"/>
                <w:sz w:val="18"/>
                <w:szCs w:val="18"/>
                <w:lang w:eastAsia="zh-CN"/>
              </w:rPr>
            </w:pPr>
            <w:r>
              <w:rPr>
                <w:rFonts w:hint="default"/>
                <w:sz w:val="18"/>
                <w:szCs w:val="18"/>
                <w:lang w:val="en-US" w:eastAsia="zh-CN"/>
              </w:rPr>
              <w:t>≥</w:t>
            </w:r>
            <w:r>
              <w:rPr>
                <w:rFonts w:hint="eastAsia"/>
                <w:sz w:val="18"/>
                <w:szCs w:val="18"/>
                <w:lang w:val="en-US" w:eastAsia="zh-CN"/>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1542" w:type="dxa"/>
            <w:vMerge w:val="continue"/>
            <w:vAlign w:val="center"/>
          </w:tcPr>
          <w:p>
            <w:pPr>
              <w:jc w:val="center"/>
              <w:rPr>
                <w:rFonts w:hint="eastAsia"/>
                <w:sz w:val="18"/>
                <w:szCs w:val="18"/>
                <w:lang w:eastAsia="zh-CN"/>
              </w:rPr>
            </w:pPr>
          </w:p>
        </w:tc>
        <w:tc>
          <w:tcPr>
            <w:tcW w:w="1065" w:type="dxa"/>
            <w:vMerge w:val="continue"/>
            <w:tcBorders>
              <w:right w:val="single" w:color="auto" w:sz="4" w:space="0"/>
            </w:tcBorders>
            <w:vAlign w:val="center"/>
          </w:tcPr>
          <w:p>
            <w:pPr>
              <w:jc w:val="center"/>
              <w:rPr>
                <w:rFonts w:hint="eastAsia"/>
                <w:sz w:val="18"/>
                <w:szCs w:val="18"/>
                <w:lang w:eastAsia="zh-CN"/>
              </w:rPr>
            </w:pPr>
          </w:p>
        </w:tc>
        <w:tc>
          <w:tcPr>
            <w:tcW w:w="1665" w:type="dxa"/>
            <w:vMerge w:val="continue"/>
            <w:tcBorders>
              <w:left w:val="single" w:color="auto" w:sz="4" w:space="0"/>
            </w:tcBorders>
            <w:vAlign w:val="center"/>
          </w:tcPr>
          <w:p>
            <w:pPr>
              <w:jc w:val="center"/>
              <w:rPr>
                <w:rFonts w:hint="eastAsia"/>
                <w:sz w:val="18"/>
                <w:szCs w:val="18"/>
                <w:lang w:eastAsia="zh-CN"/>
              </w:rPr>
            </w:pPr>
          </w:p>
        </w:tc>
        <w:tc>
          <w:tcPr>
            <w:tcW w:w="2280" w:type="dxa"/>
            <w:gridSpan w:val="2"/>
            <w:vAlign w:val="center"/>
          </w:tcPr>
          <w:p>
            <w:pPr>
              <w:jc w:val="center"/>
              <w:rPr>
                <w:rFonts w:hint="eastAsia"/>
                <w:sz w:val="18"/>
                <w:szCs w:val="18"/>
                <w:lang w:eastAsia="zh-CN"/>
              </w:rPr>
            </w:pPr>
            <w:r>
              <w:rPr>
                <w:rFonts w:hint="eastAsia"/>
                <w:sz w:val="18"/>
                <w:szCs w:val="18"/>
                <w:lang w:val="zh-CN" w:eastAsia="zh-CN"/>
              </w:rPr>
              <w:t>门诊和住院患者满意度</w:t>
            </w:r>
          </w:p>
        </w:tc>
        <w:tc>
          <w:tcPr>
            <w:tcW w:w="2521" w:type="dxa"/>
            <w:gridSpan w:val="3"/>
            <w:vAlign w:val="center"/>
          </w:tcPr>
          <w:p>
            <w:pPr>
              <w:jc w:val="center"/>
              <w:rPr>
                <w:rFonts w:hint="eastAsia"/>
                <w:sz w:val="18"/>
                <w:szCs w:val="18"/>
                <w:lang w:eastAsia="zh-CN"/>
              </w:rPr>
            </w:pPr>
            <w:r>
              <w:rPr>
                <w:rFonts w:hint="default"/>
                <w:sz w:val="18"/>
                <w:szCs w:val="18"/>
                <w:lang w:val="en-US" w:eastAsia="zh-CN"/>
              </w:rPr>
              <w:t>≥</w:t>
            </w:r>
            <w:r>
              <w:rPr>
                <w:rFonts w:hint="eastAsia"/>
                <w:sz w:val="18"/>
                <w:szCs w:val="18"/>
                <w:lang w:val="en-US" w:eastAsia="zh-CN"/>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gridAfter w:val="1"/>
          <w:wAfter w:w="119" w:type="dxa"/>
        </w:trPr>
        <w:tc>
          <w:tcPr>
            <w:tcW w:w="7089" w:type="dxa"/>
            <w:gridSpan w:val="7"/>
            <w:tcBorders>
              <w:top w:val="nil"/>
              <w:left w:val="nil"/>
              <w:bottom w:val="nil"/>
              <w:right w:val="nil"/>
            </w:tcBorders>
            <w:vAlign w:val="center"/>
          </w:tcPr>
          <w:p>
            <w:pPr>
              <w:rPr>
                <w:rFonts w:hint="default"/>
                <w:lang w:val="en-US" w:eastAsia="zh-CN"/>
              </w:rPr>
            </w:pPr>
          </w:p>
        </w:tc>
        <w:tc>
          <w:tcPr>
            <w:tcW w:w="1984" w:type="dxa"/>
            <w:tcBorders>
              <w:left w:val="nil"/>
              <w:bottom w:val="nil"/>
              <w:right w:val="nil"/>
            </w:tcBorders>
            <w:vAlign w:val="center"/>
          </w:tcPr>
          <w:p>
            <w:pPr>
              <w:rPr>
                <w:rFonts w:hint="eastAsia"/>
              </w:rPr>
            </w:pPr>
          </w:p>
        </w:tc>
      </w:tr>
    </w:tbl>
    <w:p>
      <w:pPr>
        <w:jc w:val="both"/>
        <w:rPr>
          <w:rFonts w:hint="eastAsia"/>
          <w:sz w:val="21"/>
          <w:szCs w:val="21"/>
          <w:lang w:val="en-US" w:eastAsia="zh-CN"/>
        </w:rPr>
      </w:pPr>
      <w:r>
        <w:rPr>
          <w:rFonts w:hint="eastAsia"/>
          <w:sz w:val="21"/>
          <w:szCs w:val="21"/>
          <w:lang w:eastAsia="zh-CN"/>
        </w:rPr>
        <w:t>填表人</w:t>
      </w:r>
      <w:r>
        <w:rPr>
          <w:rFonts w:hint="eastAsia"/>
          <w:sz w:val="21"/>
          <w:szCs w:val="21"/>
          <w:lang w:val="en-US" w:eastAsia="zh-CN"/>
        </w:rPr>
        <w:t>:刘琼   联系电话: 0734-2635518    填报日期:2022年4月16日   单位负责人签字:</w:t>
      </w:r>
    </w:p>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MwYzgyNWUyNzZjYTk0YzE0Y2U0Yzc1MmE3NTM5NDEifQ=="/>
  </w:docVars>
  <w:rsids>
    <w:rsidRoot w:val="25E26C38"/>
    <w:rsid w:val="074F63E2"/>
    <w:rsid w:val="076E386F"/>
    <w:rsid w:val="094B7077"/>
    <w:rsid w:val="0B3A06A9"/>
    <w:rsid w:val="13D36C5E"/>
    <w:rsid w:val="166167A3"/>
    <w:rsid w:val="186C16C7"/>
    <w:rsid w:val="1B5E7755"/>
    <w:rsid w:val="20765541"/>
    <w:rsid w:val="21C66054"/>
    <w:rsid w:val="25E26C38"/>
    <w:rsid w:val="35AD0377"/>
    <w:rsid w:val="3F275F2C"/>
    <w:rsid w:val="459B5914"/>
    <w:rsid w:val="4682613E"/>
    <w:rsid w:val="4C4905C7"/>
    <w:rsid w:val="4DBE5EA9"/>
    <w:rsid w:val="4E870795"/>
    <w:rsid w:val="51805BD8"/>
    <w:rsid w:val="524E4C50"/>
    <w:rsid w:val="53B042EA"/>
    <w:rsid w:val="59A3044D"/>
    <w:rsid w:val="5B9462A0"/>
    <w:rsid w:val="66974E96"/>
    <w:rsid w:val="6CBD1E1F"/>
    <w:rsid w:val="71BD102D"/>
    <w:rsid w:val="71E62E87"/>
    <w:rsid w:val="73855056"/>
    <w:rsid w:val="7A5E4AF4"/>
    <w:rsid w:val="7BF92C58"/>
    <w:rsid w:val="7E5D70C0"/>
    <w:rsid w:val="7F9878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1310</Words>
  <Characters>1410</Characters>
  <Lines>0</Lines>
  <Paragraphs>0</Paragraphs>
  <TotalTime>0</TotalTime>
  <ScaleCrop>false</ScaleCrop>
  <LinksUpToDate>false</LinksUpToDate>
  <CharactersWithSpaces>1433</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jiao</cp:lastModifiedBy>
  <dcterms:modified xsi:type="dcterms:W3CDTF">2023-09-01T03:13:02Z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7089030D5D65482C9F26FA8A8647C485</vt:lpwstr>
  </property>
</Properties>
</file>