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eastAsia="方正小标宋_GBK"/>
          <w:kern w:val="0"/>
          <w:sz w:val="36"/>
          <w:szCs w:val="36"/>
        </w:rPr>
      </w:pPr>
      <w:r>
        <w:rPr>
          <w:rFonts w:eastAsia="方正小标宋_GBK"/>
          <w:kern w:val="0"/>
          <w:sz w:val="36"/>
          <w:szCs w:val="36"/>
        </w:rPr>
        <w:t>202</w:t>
      </w:r>
      <w:r>
        <w:rPr>
          <w:rFonts w:hint="eastAsia" w:eastAsia="方正小标宋_GBK"/>
          <w:kern w:val="0"/>
          <w:sz w:val="36"/>
          <w:szCs w:val="36"/>
          <w:lang w:val="en-US" w:eastAsia="zh-CN"/>
        </w:rPr>
        <w:t>2</w:t>
      </w:r>
      <w:r>
        <w:rPr>
          <w:rFonts w:hint="eastAsia" w:eastAsia="方正小标宋_GBK" w:cs="方正小标宋_GBK"/>
          <w:kern w:val="0"/>
          <w:sz w:val="36"/>
          <w:szCs w:val="36"/>
        </w:rPr>
        <w:t>年部门整体支出绩效目标表</w:t>
      </w:r>
    </w:p>
    <w:p>
      <w:pPr>
        <w:spacing w:beforeLines="100" w:afterLines="100"/>
        <w:rPr>
          <w:rFonts w:hint="eastAsia" w:ascii="仿宋_GB2312" w:eastAsia="仿宋_GB2312"/>
          <w:kern w:val="0"/>
          <w:lang w:eastAsia="zh-CN"/>
        </w:rPr>
      </w:pPr>
      <w:r>
        <w:rPr>
          <w:rFonts w:hint="eastAsia" w:ascii="仿宋_GB2312" w:eastAsia="仿宋_GB2312" w:cs="仿宋_GB2312"/>
          <w:kern w:val="0"/>
          <w:sz w:val="24"/>
          <w:szCs w:val="24"/>
        </w:rPr>
        <w:t>填报单位：</w:t>
      </w:r>
      <w:r>
        <w:rPr>
          <w:rFonts w:hint="eastAsia" w:ascii="仿宋_GB2312" w:eastAsia="仿宋_GB2312" w:cs="仿宋_GB2312"/>
          <w:kern w:val="0"/>
          <w:sz w:val="24"/>
          <w:szCs w:val="24"/>
          <w:lang w:eastAsia="zh-CN"/>
        </w:rPr>
        <w:t>衡东县文化馆</w:t>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950"/>
        <w:gridCol w:w="1112"/>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widowControl/>
              <w:jc w:val="center"/>
              <w:rPr>
                <w:rFonts w:ascii="仿宋_GB2312" w:eastAsia="仿宋_GB2312"/>
                <w:kern w:val="0"/>
              </w:rPr>
            </w:pPr>
            <w:r>
              <w:rPr>
                <w:rFonts w:hint="eastAsia" w:ascii="仿宋_GB2312" w:eastAsia="仿宋_GB2312" w:cs="仿宋_GB2312"/>
                <w:kern w:val="0"/>
              </w:rPr>
              <w:t>部门名称</w:t>
            </w:r>
          </w:p>
        </w:tc>
        <w:tc>
          <w:tcPr>
            <w:tcW w:w="7681" w:type="dxa"/>
            <w:gridSpan w:val="5"/>
            <w:vAlign w:val="center"/>
          </w:tcPr>
          <w:p>
            <w:pPr>
              <w:widowControl/>
              <w:jc w:val="center"/>
              <w:rPr>
                <w:rFonts w:ascii="仿宋_GB2312" w:eastAsia="仿宋_GB2312"/>
                <w:kern w:val="0"/>
              </w:rPr>
            </w:pPr>
            <w:r>
              <w:rPr>
                <w:rFonts w:hint="eastAsia" w:ascii="仿宋_GB2312" w:eastAsia="仿宋_GB2312" w:cs="仿宋_GB2312"/>
                <w:kern w:val="0"/>
                <w:sz w:val="26"/>
                <w:szCs w:val="26"/>
              </w:rPr>
              <w:t>衡东县文化馆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61" w:type="dxa"/>
            <w:vMerge w:val="restart"/>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年度预算申请</w:t>
            </w:r>
            <w:r>
              <w:rPr>
                <w:rFonts w:ascii="仿宋_GB2312" w:eastAsia="仿宋_GB2312"/>
                <w:kern w:val="0"/>
                <w:sz w:val="24"/>
                <w:szCs w:val="24"/>
              </w:rPr>
              <w:br w:type="textWrapping"/>
            </w:r>
            <w:r>
              <w:rPr>
                <w:rFonts w:hint="eastAsia" w:ascii="仿宋_GB2312" w:eastAsia="仿宋_GB2312" w:cs="仿宋_GB2312"/>
                <w:kern w:val="0"/>
                <w:sz w:val="24"/>
                <w:szCs w:val="24"/>
              </w:rPr>
              <w:t>（万元）</w:t>
            </w:r>
          </w:p>
        </w:tc>
        <w:tc>
          <w:tcPr>
            <w:tcW w:w="7681" w:type="dxa"/>
            <w:gridSpan w:val="5"/>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资金总额：</w:t>
            </w:r>
            <w:r>
              <w:rPr>
                <w:rFonts w:hint="eastAsia" w:ascii="仿宋_GB2312" w:eastAsia="仿宋_GB2312" w:cs="仿宋_GB2312"/>
                <w:kern w:val="0"/>
                <w:sz w:val="24"/>
                <w:szCs w:val="24"/>
                <w:lang w:val="en-US" w:eastAsia="zh-CN"/>
              </w:rPr>
              <w:t>232.74.74</w:t>
            </w:r>
            <w:r>
              <w:rPr>
                <w:rFonts w:hint="eastAsia" w:asci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按收入性质分：</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其中：</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一般公共预算：</w:t>
            </w:r>
            <w:r>
              <w:rPr>
                <w:rFonts w:hint="eastAsia" w:ascii="仿宋_GB2312" w:eastAsia="仿宋_GB2312" w:cs="仿宋_GB2312"/>
                <w:kern w:val="0"/>
                <w:sz w:val="24"/>
                <w:szCs w:val="24"/>
                <w:lang w:val="en-US" w:eastAsia="zh-CN"/>
              </w:rPr>
              <w:t>204.74</w:t>
            </w:r>
            <w:r>
              <w:rPr>
                <w:rFonts w:hint="eastAsia" w:ascii="仿宋_GB2312" w:eastAsia="仿宋_GB2312" w:cs="仿宋_GB2312"/>
                <w:kern w:val="0"/>
                <w:sz w:val="24"/>
                <w:szCs w:val="24"/>
              </w:rPr>
              <w:t>万元</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其中：</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基本支出：</w:t>
            </w:r>
            <w:r>
              <w:rPr>
                <w:rFonts w:hint="eastAsia" w:ascii="仿宋_GB2312" w:eastAsia="仿宋_GB2312" w:cs="仿宋_GB2312"/>
                <w:kern w:val="0"/>
                <w:sz w:val="24"/>
                <w:szCs w:val="24"/>
                <w:lang w:val="en-US" w:eastAsia="zh-CN"/>
              </w:rPr>
              <w:t>174.74</w:t>
            </w:r>
            <w:r>
              <w:rPr>
                <w:rFonts w:hint="eastAsia" w:asci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ascii="仿宋_GB2312" w:eastAsia="仿宋_GB2312" w:cs="仿宋_GB2312"/>
                <w:kern w:val="0"/>
                <w:sz w:val="24"/>
                <w:szCs w:val="24"/>
              </w:rPr>
              <w:t xml:space="preserve">       </w:t>
            </w:r>
            <w:r>
              <w:rPr>
                <w:rFonts w:hint="eastAsia" w:ascii="仿宋_GB2312" w:eastAsia="仿宋_GB2312" w:cs="仿宋_GB2312"/>
                <w:kern w:val="0"/>
                <w:sz w:val="24"/>
                <w:szCs w:val="24"/>
              </w:rPr>
              <w:t>政府性基金拨款：</w:t>
            </w:r>
          </w:p>
        </w:tc>
        <w:tc>
          <w:tcPr>
            <w:tcW w:w="3741" w:type="dxa"/>
            <w:gridSpan w:val="2"/>
            <w:vAlign w:val="center"/>
          </w:tcPr>
          <w:p>
            <w:pPr>
              <w:widowControl/>
              <w:jc w:val="left"/>
              <w:rPr>
                <w:rFonts w:ascii="仿宋_GB2312" w:eastAsia="仿宋_GB2312"/>
                <w:kern w:val="0"/>
                <w:sz w:val="24"/>
                <w:szCs w:val="24"/>
              </w:rPr>
            </w:pPr>
            <w:r>
              <w:rPr>
                <w:rFonts w:ascii="仿宋_GB2312" w:eastAsia="仿宋_GB2312" w:cs="仿宋_GB2312"/>
                <w:kern w:val="0"/>
                <w:sz w:val="24"/>
                <w:szCs w:val="24"/>
              </w:rPr>
              <w:t xml:space="preserve">       </w:t>
            </w:r>
            <w:r>
              <w:rPr>
                <w:rFonts w:hint="eastAsia" w:ascii="仿宋_GB2312" w:eastAsia="仿宋_GB2312" w:cs="仿宋_GB2312"/>
                <w:kern w:val="0"/>
                <w:sz w:val="24"/>
                <w:szCs w:val="24"/>
              </w:rPr>
              <w:t>项目支出：</w:t>
            </w:r>
            <w:r>
              <w:rPr>
                <w:rFonts w:hint="eastAsia" w:ascii="仿宋_GB2312" w:eastAsia="仿宋_GB2312" w:cs="仿宋_GB2312"/>
                <w:kern w:val="0"/>
                <w:sz w:val="24"/>
                <w:szCs w:val="24"/>
                <w:lang w:val="en-US" w:eastAsia="zh-CN"/>
              </w:rPr>
              <w:t>30</w:t>
            </w:r>
            <w:r>
              <w:rPr>
                <w:rFonts w:hint="eastAsia" w:asci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ind w:firstLine="720" w:firstLineChars="300"/>
              <w:jc w:val="left"/>
              <w:rPr>
                <w:rFonts w:ascii="仿宋_GB2312" w:eastAsia="仿宋_GB2312"/>
                <w:kern w:val="0"/>
                <w:sz w:val="24"/>
                <w:szCs w:val="24"/>
              </w:rPr>
            </w:pPr>
            <w:r>
              <w:rPr>
                <w:rFonts w:hint="eastAsia" w:ascii="仿宋_GB2312" w:eastAsia="仿宋_GB2312" w:cs="仿宋_GB2312"/>
                <w:kern w:val="0"/>
                <w:sz w:val="24"/>
                <w:szCs w:val="24"/>
              </w:rPr>
              <w:t>纳入专户管理的非税收入拨款：</w:t>
            </w:r>
            <w:r>
              <w:rPr>
                <w:rFonts w:ascii="仿宋_GB2312" w:eastAsia="仿宋_GB2312" w:cs="仿宋_GB2312"/>
                <w:kern w:val="0"/>
                <w:sz w:val="24"/>
                <w:szCs w:val="24"/>
              </w:rPr>
              <w:t>28</w:t>
            </w:r>
            <w:r>
              <w:rPr>
                <w:rFonts w:hint="eastAsia" w:ascii="仿宋_GB2312" w:eastAsia="仿宋_GB2312" w:cs="仿宋_GB2312"/>
                <w:kern w:val="0"/>
                <w:sz w:val="24"/>
                <w:szCs w:val="24"/>
              </w:rPr>
              <w:t>万元</w:t>
            </w:r>
          </w:p>
        </w:tc>
        <w:tc>
          <w:tcPr>
            <w:tcW w:w="3741" w:type="dxa"/>
            <w:gridSpan w:val="2"/>
            <w:vAlign w:val="center"/>
          </w:tcPr>
          <w:p>
            <w:pPr>
              <w:widowControl/>
              <w:jc w:val="left"/>
              <w:rPr>
                <w:rFonts w:ascii="仿宋_GB2312" w:eastAsia="仿宋_GB2312" w:cs="仿宋_GB2312"/>
                <w:kern w:val="0"/>
                <w:sz w:val="24"/>
                <w:szCs w:val="24"/>
              </w:rPr>
            </w:pPr>
            <w:r>
              <w:rPr>
                <w:rFonts w:ascii="仿宋_GB2312" w:eastAsia="仿宋_GB2312"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ascii="仿宋_GB2312" w:eastAsia="仿宋_GB2312" w:cs="仿宋_GB2312"/>
                <w:kern w:val="0"/>
                <w:sz w:val="24"/>
                <w:szCs w:val="24"/>
              </w:rPr>
              <w:t xml:space="preserve">      </w:t>
            </w:r>
            <w:r>
              <w:rPr>
                <w:rFonts w:hint="eastAsia" w:ascii="仿宋_GB2312" w:eastAsia="仿宋_GB2312" w:cs="仿宋_GB2312"/>
                <w:kern w:val="0"/>
                <w:sz w:val="24"/>
                <w:szCs w:val="24"/>
              </w:rPr>
              <w:t>其他资金：</w:t>
            </w:r>
          </w:p>
        </w:tc>
        <w:tc>
          <w:tcPr>
            <w:tcW w:w="3741" w:type="dxa"/>
            <w:gridSpan w:val="2"/>
            <w:vAlign w:val="center"/>
          </w:tcPr>
          <w:p>
            <w:pPr>
              <w:widowControl/>
              <w:jc w:val="left"/>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5" w:hRule="atLeast"/>
          <w:jc w:val="center"/>
        </w:trPr>
        <w:tc>
          <w:tcPr>
            <w:tcW w:w="1761"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部门职能</w:t>
            </w:r>
          </w:p>
          <w:p>
            <w:pPr>
              <w:widowControl/>
              <w:jc w:val="center"/>
              <w:rPr>
                <w:rFonts w:ascii="仿宋_GB2312" w:eastAsia="仿宋_GB2312"/>
                <w:kern w:val="0"/>
                <w:sz w:val="24"/>
                <w:szCs w:val="24"/>
              </w:rPr>
            </w:pPr>
            <w:r>
              <w:rPr>
                <w:rFonts w:hint="eastAsia" w:ascii="仿宋_GB2312" w:eastAsia="仿宋_GB2312" w:cs="仿宋_GB2312"/>
                <w:kern w:val="0"/>
                <w:sz w:val="24"/>
                <w:szCs w:val="24"/>
              </w:rPr>
              <w:t>职责概述</w:t>
            </w:r>
          </w:p>
        </w:tc>
        <w:tc>
          <w:tcPr>
            <w:tcW w:w="7681" w:type="dxa"/>
            <w:gridSpan w:val="5"/>
            <w:vAlign w:val="center"/>
          </w:tcPr>
          <w:p>
            <w:pPr>
              <w:spacing w:line="56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文化馆是公益型的全额事业单位。</w:t>
            </w:r>
          </w:p>
          <w:p>
            <w:pPr>
              <w:spacing w:line="56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主要工作职责：</w:t>
            </w:r>
            <w:r>
              <w:rPr>
                <w:rFonts w:ascii="仿宋_GB2312" w:hAnsi="仿宋_GB2312" w:eastAsia="仿宋_GB2312" w:cs="仿宋_GB2312"/>
                <w:color w:val="383838"/>
                <w:kern w:val="0"/>
                <w:sz w:val="24"/>
                <w:szCs w:val="24"/>
                <w:shd w:val="clear" w:color="auto" w:fill="FFFFFF"/>
              </w:rPr>
              <w:t>1</w:t>
            </w:r>
            <w:r>
              <w:rPr>
                <w:rFonts w:hint="eastAsia" w:ascii="仿宋_GB2312" w:hAnsi="仿宋_GB2312" w:eastAsia="仿宋_GB2312" w:cs="仿宋_GB2312"/>
                <w:color w:val="383838"/>
                <w:kern w:val="0"/>
                <w:sz w:val="24"/>
                <w:szCs w:val="24"/>
                <w:shd w:val="clear" w:color="auto" w:fill="FFFFFF"/>
              </w:rPr>
              <w:t>、负责宣传国家文化方针、政策和法令，开展文化科学知识的普及宣传。</w:t>
            </w:r>
            <w:r>
              <w:rPr>
                <w:rFonts w:ascii="仿宋_GB2312" w:hAnsi="仿宋_GB2312" w:eastAsia="仿宋_GB2312" w:cs="仿宋_GB2312"/>
                <w:color w:val="383838"/>
                <w:kern w:val="0"/>
                <w:sz w:val="24"/>
                <w:szCs w:val="24"/>
                <w:shd w:val="clear" w:color="auto" w:fill="FFFFFF"/>
              </w:rPr>
              <w:t>2</w:t>
            </w:r>
            <w:r>
              <w:rPr>
                <w:rFonts w:hint="eastAsia" w:ascii="仿宋_GB2312" w:hAnsi="仿宋_GB2312" w:eastAsia="仿宋_GB2312" w:cs="仿宋_GB2312"/>
                <w:color w:val="383838"/>
                <w:kern w:val="0"/>
                <w:sz w:val="24"/>
                <w:szCs w:val="24"/>
                <w:shd w:val="clear" w:color="auto" w:fill="FFFFFF"/>
              </w:rPr>
              <w:t>、组织开展健康有益、积极向上、丰富多彩的群众文化系列活动及举办各类艺术展览活动和文化下乡活动。</w:t>
            </w:r>
            <w:r>
              <w:rPr>
                <w:rFonts w:ascii="仿宋_GB2312" w:hAnsi="仿宋_GB2312" w:eastAsia="仿宋_GB2312" w:cs="仿宋_GB2312"/>
                <w:color w:val="383838"/>
                <w:kern w:val="0"/>
                <w:sz w:val="24"/>
                <w:szCs w:val="24"/>
                <w:shd w:val="clear" w:color="auto" w:fill="FFFFFF"/>
              </w:rPr>
              <w:t>3</w:t>
            </w:r>
            <w:r>
              <w:rPr>
                <w:rFonts w:hint="eastAsia" w:ascii="仿宋_GB2312" w:hAnsi="仿宋_GB2312" w:eastAsia="仿宋_GB2312" w:cs="仿宋_GB2312"/>
                <w:color w:val="383838"/>
                <w:kern w:val="0"/>
                <w:sz w:val="24"/>
                <w:szCs w:val="24"/>
                <w:shd w:val="clear" w:color="auto" w:fill="FFFFFF"/>
              </w:rPr>
              <w:t>、组织音乐、舞蹈、美术、书法、小品、摄影等各种群众文化艺术门类的培训创作。</w:t>
            </w:r>
            <w:r>
              <w:rPr>
                <w:rFonts w:ascii="仿宋_GB2312" w:hAnsi="仿宋_GB2312" w:eastAsia="仿宋_GB2312" w:cs="仿宋_GB2312"/>
                <w:color w:val="383838"/>
                <w:kern w:val="0"/>
                <w:sz w:val="24"/>
                <w:szCs w:val="24"/>
                <w:shd w:val="clear" w:color="auto" w:fill="FFFFFF"/>
              </w:rPr>
              <w:t>4</w:t>
            </w:r>
            <w:r>
              <w:rPr>
                <w:rFonts w:hint="eastAsia" w:ascii="仿宋_GB2312" w:hAnsi="仿宋_GB2312" w:eastAsia="仿宋_GB2312" w:cs="仿宋_GB2312"/>
                <w:color w:val="383838"/>
                <w:kern w:val="0"/>
                <w:sz w:val="24"/>
                <w:szCs w:val="24"/>
                <w:shd w:val="clear" w:color="auto" w:fill="FFFFFF"/>
              </w:rPr>
              <w:t>、负责本县非物质文化遗产的保护与管理，收集、整理、申报等。</w:t>
            </w:r>
          </w:p>
          <w:p>
            <w:pPr>
              <w:spacing w:line="56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工作职能：文化馆是全县文化艺术中心、辅导中心、活动中心，为人民群众提供优质的文化馆服务。</w:t>
            </w:r>
          </w:p>
          <w:p>
            <w:pPr>
              <w:spacing w:line="560" w:lineRule="exact"/>
              <w:ind w:firstLine="480" w:firstLineChars="200"/>
              <w:rPr>
                <w:rFonts w:ascii="仿宋_GB2312" w:hAnsi="仿宋_GB2312" w:eastAsia="仿宋_GB2312"/>
                <w:color w:val="383838"/>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1761"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整体绩效目标</w:t>
            </w:r>
          </w:p>
        </w:tc>
        <w:tc>
          <w:tcPr>
            <w:tcW w:w="7681" w:type="dxa"/>
            <w:gridSpan w:val="5"/>
            <w:vAlign w:val="center"/>
          </w:tcPr>
          <w:p>
            <w:pPr>
              <w:spacing w:line="52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通过预算执行，保障单位履职、运转。宣传教育、辅导文化站和基层业务文化组织、培训各种文化艺术人才，搜集整理民族民间文化遗产、组织各种群众文化艺术门类的创作、管理统筹职络社会文化活动。积极推进文化活动建设，充分发挥管理、服务、协调作用，收集信息提出建议，为县委、县政府提供决策参考依据。</w:t>
            </w:r>
          </w:p>
          <w:p>
            <w:pPr>
              <w:spacing w:line="560" w:lineRule="exact"/>
              <w:ind w:firstLine="480" w:firstLineChars="200"/>
              <w:rPr>
                <w:rFonts w:ascii="仿宋_GB2312" w:hAnsi="仿宋_GB2312" w:eastAsia="仿宋_GB2312"/>
                <w:color w:val="383838"/>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部门整体支出</w:t>
            </w:r>
          </w:p>
          <w:p>
            <w:pPr>
              <w:jc w:val="center"/>
              <w:rPr>
                <w:rFonts w:ascii="仿宋_GB2312" w:eastAsia="仿宋_GB2312"/>
                <w:kern w:val="0"/>
                <w:sz w:val="24"/>
                <w:szCs w:val="24"/>
              </w:rPr>
            </w:pPr>
            <w:r>
              <w:rPr>
                <w:rFonts w:hint="eastAsia" w:ascii="仿宋_GB2312" w:eastAsia="仿宋_GB2312" w:cs="仿宋_GB2312"/>
                <w:kern w:val="0"/>
                <w:sz w:val="24"/>
                <w:szCs w:val="24"/>
              </w:rPr>
              <w:t>年度绩效指标</w:t>
            </w:r>
          </w:p>
        </w:tc>
        <w:tc>
          <w:tcPr>
            <w:tcW w:w="1147"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一级指标</w:t>
            </w:r>
          </w:p>
        </w:tc>
        <w:tc>
          <w:tcPr>
            <w:tcW w:w="1843"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二级指标</w:t>
            </w:r>
          </w:p>
        </w:tc>
        <w:tc>
          <w:tcPr>
            <w:tcW w:w="2062" w:type="dxa"/>
            <w:gridSpan w:val="2"/>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三级指标</w:t>
            </w:r>
          </w:p>
        </w:tc>
        <w:tc>
          <w:tcPr>
            <w:tcW w:w="2629"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restart"/>
            <w:vAlign w:val="center"/>
          </w:tcPr>
          <w:p>
            <w:pPr>
              <w:jc w:val="center"/>
              <w:rPr>
                <w:rFonts w:hint="eastAsia" w:ascii="仿宋_GB2312" w:eastAsia="仿宋_GB2312"/>
                <w:kern w:val="0"/>
                <w:sz w:val="24"/>
                <w:szCs w:val="24"/>
                <w:lang w:eastAsia="zh-CN"/>
              </w:rPr>
            </w:pPr>
            <w:r>
              <w:rPr>
                <w:rFonts w:hint="eastAsia" w:ascii="仿宋_GB2312" w:eastAsia="仿宋_GB2312"/>
                <w:kern w:val="0"/>
                <w:sz w:val="24"/>
                <w:szCs w:val="24"/>
                <w:lang w:eastAsia="zh-CN"/>
              </w:rPr>
              <w:t>产出指标</w:t>
            </w:r>
          </w:p>
        </w:tc>
        <w:tc>
          <w:tcPr>
            <w:tcW w:w="1843" w:type="dxa"/>
            <w:vMerge w:val="restart"/>
            <w:vAlign w:val="center"/>
          </w:tcPr>
          <w:p>
            <w:pPr>
              <w:jc w:val="center"/>
              <w:rPr>
                <w:rFonts w:hint="eastAsia" w:ascii="仿宋_GB2312" w:eastAsia="仿宋_GB2312"/>
                <w:kern w:val="0"/>
                <w:sz w:val="24"/>
                <w:szCs w:val="24"/>
                <w:lang w:eastAsia="zh-CN"/>
              </w:rPr>
            </w:pPr>
            <w:r>
              <w:rPr>
                <w:rFonts w:hint="eastAsia" w:ascii="仿宋_GB2312" w:eastAsia="仿宋_GB2312"/>
                <w:kern w:val="0"/>
                <w:sz w:val="24"/>
                <w:szCs w:val="24"/>
                <w:lang w:eastAsia="zh-CN"/>
              </w:rPr>
              <w:t>数量指标</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财政供养人员</w:t>
            </w:r>
          </w:p>
        </w:tc>
        <w:tc>
          <w:tcPr>
            <w:tcW w:w="2629" w:type="dxa"/>
            <w:vAlign w:val="center"/>
          </w:tcPr>
          <w:p>
            <w:pPr>
              <w:jc w:val="center"/>
              <w:rPr>
                <w:rFonts w:ascii="仿宋_GB2312" w:eastAsia="仿宋_GB2312"/>
                <w:color w:val="000000" w:themeColor="text1"/>
                <w:kern w:val="0"/>
                <w:sz w:val="24"/>
                <w:szCs w:val="24"/>
                <w14:textFill>
                  <w14:solidFill>
                    <w14:schemeClr w14:val="tx1"/>
                  </w14:solidFill>
                </w14:textFill>
              </w:rPr>
            </w:pPr>
            <w:r>
              <w:rPr>
                <w:rFonts w:hint="eastAsia" w:ascii="仿宋_GB2312" w:eastAsia="仿宋_GB2312" w:cs="仿宋_GB2312"/>
                <w:color w:val="000000" w:themeColor="text1"/>
                <w:kern w:val="0"/>
                <w:sz w:val="24"/>
                <w:szCs w:val="24"/>
                <w:lang w:val="en-US" w:eastAsia="zh-CN"/>
                <w14:textFill>
                  <w14:solidFill>
                    <w14:schemeClr w14:val="tx1"/>
                  </w14:solidFill>
                </w14:textFill>
              </w:rPr>
              <w:t>15</w:t>
            </w:r>
            <w:r>
              <w:rPr>
                <w:rFonts w:hint="eastAsia" w:ascii="仿宋_GB2312" w:eastAsia="仿宋_GB2312" w:cs="仿宋_GB2312"/>
                <w:color w:val="000000" w:themeColor="text1"/>
                <w:kern w:val="0"/>
                <w:sz w:val="24"/>
                <w:szCs w:val="24"/>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部门单位履职、运转</w:t>
            </w:r>
          </w:p>
        </w:tc>
        <w:tc>
          <w:tcPr>
            <w:tcW w:w="2629" w:type="dxa"/>
            <w:vAlign w:val="center"/>
          </w:tcPr>
          <w:p>
            <w:pPr>
              <w:jc w:val="center"/>
              <w:rPr>
                <w:rFonts w:ascii="仿宋_GB2312" w:eastAsia="仿宋_GB2312"/>
                <w:color w:val="000000" w:themeColor="text1"/>
                <w:kern w:val="0"/>
                <w:sz w:val="24"/>
                <w:szCs w:val="24"/>
                <w14:textFill>
                  <w14:solidFill>
                    <w14:schemeClr w14:val="tx1"/>
                  </w14:solidFill>
                </w14:textFill>
              </w:rPr>
            </w:pPr>
            <w:r>
              <w:rPr>
                <w:rFonts w:hint="eastAsia" w:ascii="仿宋_GB2312" w:eastAsia="仿宋_GB2312" w:cs="仿宋_GB2312"/>
                <w:color w:val="000000" w:themeColor="text1"/>
                <w:kern w:val="0"/>
                <w:sz w:val="24"/>
                <w:szCs w:val="24"/>
                <w14:textFill>
                  <w14:solidFill>
                    <w14:schemeClr w14:val="tx1"/>
                  </w14:solidFill>
                </w14:textFill>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restart"/>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质量指标</w:t>
            </w: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在职人员控制率</w:t>
            </w:r>
          </w:p>
        </w:tc>
        <w:tc>
          <w:tcPr>
            <w:tcW w:w="2629" w:type="dxa"/>
            <w:vAlign w:val="center"/>
          </w:tcPr>
          <w:p>
            <w:pPr>
              <w:jc w:val="center"/>
              <w:rPr>
                <w:rFonts w:ascii="仿宋_GB2312"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eastAsia="仿宋_GB2312" w:cs="仿宋_GB2312"/>
                <w:color w:val="000000" w:themeColor="text1"/>
                <w:kern w:val="0"/>
                <w:sz w:val="24"/>
                <w:szCs w:val="24"/>
                <w14:textFill>
                  <w14:solidFill>
                    <w14:schemeClr w14:val="tx1"/>
                  </w14:solidFill>
                </w14:textFill>
              </w:rPr>
              <w:t>≦</w:t>
            </w:r>
            <w:r>
              <w:rPr>
                <w:rFonts w:ascii="仿宋_GB2312" w:eastAsia="仿宋_GB2312" w:cs="仿宋_GB2312"/>
                <w:color w:val="000000" w:themeColor="text1"/>
                <w:kern w:val="0"/>
                <w:sz w:val="24"/>
                <w:szCs w:val="24"/>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公用经费控制率</w:t>
            </w:r>
          </w:p>
        </w:tc>
        <w:tc>
          <w:tcPr>
            <w:tcW w:w="2629" w:type="dxa"/>
            <w:vAlign w:val="center"/>
          </w:tcPr>
          <w:p>
            <w:pPr>
              <w:jc w:val="center"/>
              <w:rPr>
                <w:rFonts w:ascii="仿宋_GB2312" w:hAnsi="Times New Roman" w:eastAsia="仿宋_GB2312" w:cs="仿宋_GB2312"/>
                <w:kern w:val="0"/>
                <w:sz w:val="24"/>
                <w:szCs w:val="24"/>
                <w:lang w:val="en-US" w:eastAsia="zh-CN" w:bidi="ar-SA"/>
              </w:rPr>
            </w:pPr>
            <w:r>
              <w:rPr>
                <w:rFonts w:hint="eastAsia" w:ascii="仿宋_GB2312" w:eastAsia="仿宋_GB2312" w:cs="仿宋_GB2312"/>
                <w:kern w:val="0"/>
                <w:sz w:val="24"/>
                <w:szCs w:val="24"/>
              </w:rPr>
              <w:t>≦</w:t>
            </w:r>
            <w:r>
              <w:rPr>
                <w:rFonts w:ascii="仿宋_GB2312" w:eastAsia="仿宋_GB2312" w:cs="仿宋_GB2312"/>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restart"/>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成本指标</w:t>
            </w: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保障财政供养人员</w:t>
            </w:r>
          </w:p>
        </w:tc>
        <w:tc>
          <w:tcPr>
            <w:tcW w:w="2629" w:type="dxa"/>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w:t>
            </w:r>
            <w:r>
              <w:rPr>
                <w:rFonts w:hint="eastAsia" w:ascii="仿宋_GB2312" w:eastAsia="仿宋_GB2312" w:cs="仿宋_GB2312"/>
                <w:kern w:val="0"/>
                <w:sz w:val="24"/>
                <w:szCs w:val="24"/>
                <w:lang w:val="en-US" w:eastAsia="zh-CN"/>
              </w:rPr>
              <w:t>164.94</w:t>
            </w:r>
            <w:r>
              <w:rPr>
                <w:rFonts w:hint="eastAsia" w:ascii="仿宋_GB2312" w:eastAsia="仿宋_GB2312" w:cs="仿宋_GB2312"/>
                <w:kern w:val="0"/>
                <w:sz w:val="24"/>
                <w:szCs w:val="24"/>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保证单位正常运转</w:t>
            </w:r>
          </w:p>
        </w:tc>
        <w:tc>
          <w:tcPr>
            <w:tcW w:w="2629" w:type="dxa"/>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w:t>
            </w:r>
            <w:r>
              <w:rPr>
                <w:rFonts w:hint="eastAsia" w:ascii="仿宋_GB2312" w:eastAsia="仿宋_GB2312" w:cs="仿宋_GB2312"/>
                <w:kern w:val="0"/>
                <w:sz w:val="24"/>
                <w:szCs w:val="24"/>
                <w:lang w:val="en-US" w:eastAsia="zh-CN"/>
              </w:rPr>
              <w:t>9.8</w:t>
            </w:r>
            <w:r>
              <w:rPr>
                <w:rFonts w:hint="eastAsia" w:ascii="仿宋_GB2312" w:eastAsia="仿宋_GB2312" w:cs="仿宋_GB2312"/>
                <w:kern w:val="0"/>
                <w:sz w:val="24"/>
                <w:szCs w:val="24"/>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完成单位职责及上级交办的各项任务时限</w:t>
            </w:r>
          </w:p>
        </w:tc>
        <w:tc>
          <w:tcPr>
            <w:tcW w:w="2629" w:type="dxa"/>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效益指标</w:t>
            </w: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经济效益指标</w:t>
            </w:r>
          </w:p>
        </w:tc>
        <w:tc>
          <w:tcPr>
            <w:tcW w:w="2062" w:type="dxa"/>
            <w:gridSpan w:val="2"/>
            <w:vAlign w:val="center"/>
          </w:tcPr>
          <w:p>
            <w:pPr>
              <w:jc w:val="center"/>
              <w:rPr>
                <w:rFonts w:ascii="仿宋_GB2312" w:eastAsia="仿宋_GB2312"/>
                <w:kern w:val="0"/>
                <w:sz w:val="24"/>
                <w:szCs w:val="24"/>
              </w:rPr>
            </w:pPr>
          </w:p>
        </w:tc>
        <w:tc>
          <w:tcPr>
            <w:tcW w:w="2629" w:type="dxa"/>
            <w:vAlign w:val="center"/>
          </w:tcPr>
          <w:p>
            <w:pPr>
              <w:jc w:val="center"/>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restart"/>
            <w:vAlign w:val="center"/>
          </w:tcPr>
          <w:p>
            <w:pPr>
              <w:jc w:val="center"/>
              <w:rPr>
                <w:rFonts w:ascii="仿宋_GB2312" w:eastAsia="仿宋_GB2312"/>
                <w:kern w:val="0"/>
                <w:sz w:val="24"/>
                <w:szCs w:val="24"/>
              </w:rPr>
            </w:pP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社会效益指标</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通过组织、开展文化活动，繁荣文化市场</w:t>
            </w:r>
          </w:p>
        </w:tc>
        <w:tc>
          <w:tcPr>
            <w:tcW w:w="2629" w:type="dxa"/>
            <w:vAlign w:val="center"/>
          </w:tcPr>
          <w:p>
            <w:pPr>
              <w:jc w:val="center"/>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可持续影响指标</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促进县域文化事业发展</w:t>
            </w:r>
          </w:p>
        </w:tc>
        <w:tc>
          <w:tcPr>
            <w:tcW w:w="2629" w:type="dxa"/>
            <w:vAlign w:val="center"/>
          </w:tcPr>
          <w:p>
            <w:pPr>
              <w:jc w:val="center"/>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社会公众或服务对象满意度</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社会群众满意度</w:t>
            </w:r>
          </w:p>
        </w:tc>
        <w:tc>
          <w:tcPr>
            <w:tcW w:w="2629" w:type="dxa"/>
            <w:vAlign w:val="center"/>
          </w:tcPr>
          <w:p>
            <w:pPr>
              <w:jc w:val="center"/>
              <w:rPr>
                <w:rFonts w:ascii="仿宋_GB2312" w:eastAsia="仿宋_GB2312"/>
                <w:kern w:val="0"/>
                <w:sz w:val="24"/>
                <w:szCs w:val="24"/>
              </w:rPr>
            </w:pPr>
            <w:r>
              <w:rPr>
                <w:rFonts w:hint="eastAsia" w:ascii="宋体" w:hAnsi="宋体" w:cs="宋体"/>
                <w:color w:val="000000"/>
                <w:kern w:val="0"/>
                <w:sz w:val="24"/>
                <w:szCs w:val="24"/>
              </w:rPr>
              <w:t>≧</w:t>
            </w:r>
            <w:r>
              <w:rPr>
                <w:rFonts w:ascii="宋体" w:hAnsi="宋体" w:cs="宋体"/>
                <w:color w:val="000000"/>
                <w:kern w:val="0"/>
                <w:sz w:val="24"/>
                <w:szCs w:val="24"/>
              </w:rPr>
              <w:t>9</w:t>
            </w:r>
            <w:r>
              <w:rPr>
                <w:rFonts w:ascii="仿宋_GB2312" w:eastAsia="仿宋_GB2312" w:cs="仿宋_GB2312"/>
                <w:color w:val="000000"/>
                <w:kern w:val="0"/>
                <w:sz w:val="24"/>
                <w:szCs w:val="24"/>
              </w:rPr>
              <w:t>5%</w:t>
            </w:r>
            <w:r>
              <w:rPr>
                <w:rFonts w:hint="eastAsia" w:ascii="仿宋_GB2312" w:eastAsia="仿宋_GB2312" w:cs="仿宋_GB2312"/>
                <w:color w:val="000000"/>
                <w:kern w:val="0"/>
                <w:sz w:val="24"/>
                <w:szCs w:val="24"/>
              </w:rPr>
              <w:t>　</w:t>
            </w:r>
          </w:p>
        </w:tc>
      </w:tr>
    </w:tbl>
    <w:p>
      <w:pPr>
        <w:widowControl/>
        <w:tabs>
          <w:tab w:val="left" w:pos="1333"/>
          <w:tab w:val="left" w:pos="3793"/>
          <w:tab w:val="left" w:pos="5853"/>
        </w:tabs>
        <w:jc w:val="left"/>
        <w:rPr>
          <w:kern w:val="0"/>
          <w:sz w:val="24"/>
          <w:szCs w:val="24"/>
        </w:rPr>
      </w:pPr>
    </w:p>
    <w:p>
      <w:pPr>
        <w:widowControl/>
        <w:tabs>
          <w:tab w:val="left" w:pos="1333"/>
          <w:tab w:val="left" w:pos="3793"/>
          <w:tab w:val="left" w:pos="5853"/>
        </w:tabs>
        <w:jc w:val="left"/>
        <w:rPr>
          <w:rFonts w:hint="default" w:eastAsia="仿宋_GB2312"/>
          <w:sz w:val="24"/>
          <w:szCs w:val="24"/>
          <w:lang w:val="en-US" w:eastAsia="zh-CN"/>
        </w:rPr>
      </w:pPr>
      <w:r>
        <w:rPr>
          <w:rFonts w:hint="eastAsia" w:ascii="仿宋_GB2312" w:eastAsia="仿宋_GB2312" w:cs="仿宋_GB2312"/>
          <w:kern w:val="0"/>
          <w:sz w:val="24"/>
          <w:szCs w:val="24"/>
        </w:rPr>
        <w:t>填表人：</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周铁兰</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联系电话：</w:t>
      </w:r>
      <w:r>
        <w:rPr>
          <w:rFonts w:ascii="仿宋_GB2312" w:eastAsia="仿宋_GB2312" w:cs="仿宋_GB2312"/>
          <w:kern w:val="0"/>
          <w:sz w:val="24"/>
          <w:szCs w:val="24"/>
        </w:rPr>
        <w:t xml:space="preserve">18774238686         </w:t>
      </w:r>
      <w:r>
        <w:rPr>
          <w:rFonts w:hint="eastAsia" w:ascii="仿宋_GB2312" w:eastAsia="仿宋_GB2312" w:cs="仿宋_GB2312"/>
          <w:kern w:val="0"/>
          <w:sz w:val="24"/>
          <w:szCs w:val="24"/>
        </w:rPr>
        <w:t>填报日期：</w:t>
      </w:r>
      <w:r>
        <w:rPr>
          <w:rFonts w:hint="eastAsia" w:ascii="仿宋_GB2312" w:eastAsia="仿宋_GB2312" w:cs="仿宋_GB2312"/>
          <w:kern w:val="0"/>
          <w:sz w:val="24"/>
          <w:szCs w:val="24"/>
          <w:lang w:val="en-US" w:eastAsia="zh-CN"/>
        </w:rPr>
        <w:t>2022.4.15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00995676"/>
    <w:rsid w:val="00291E85"/>
    <w:rsid w:val="004E4E90"/>
    <w:rsid w:val="0083213E"/>
    <w:rsid w:val="00995676"/>
    <w:rsid w:val="00A35BCC"/>
    <w:rsid w:val="00E37C39"/>
    <w:rsid w:val="012A626C"/>
    <w:rsid w:val="09C20DD9"/>
    <w:rsid w:val="09F91562"/>
    <w:rsid w:val="10A84D90"/>
    <w:rsid w:val="14C738C0"/>
    <w:rsid w:val="154E121C"/>
    <w:rsid w:val="157660A2"/>
    <w:rsid w:val="16A2189E"/>
    <w:rsid w:val="1D121849"/>
    <w:rsid w:val="1E1625F6"/>
    <w:rsid w:val="238A65F6"/>
    <w:rsid w:val="25785378"/>
    <w:rsid w:val="28DB50C2"/>
    <w:rsid w:val="2974202E"/>
    <w:rsid w:val="2BB71DC0"/>
    <w:rsid w:val="41294AAF"/>
    <w:rsid w:val="44E0114C"/>
    <w:rsid w:val="4B8F18D8"/>
    <w:rsid w:val="503E475A"/>
    <w:rsid w:val="55840C42"/>
    <w:rsid w:val="567F3EFF"/>
    <w:rsid w:val="57E248AC"/>
    <w:rsid w:val="5A680432"/>
    <w:rsid w:val="651E4651"/>
    <w:rsid w:val="65DD4F43"/>
    <w:rsid w:val="68EF2FA1"/>
    <w:rsid w:val="696E46E2"/>
    <w:rsid w:val="69931067"/>
    <w:rsid w:val="71A037B3"/>
    <w:rsid w:val="74FC18DD"/>
    <w:rsid w:val="77A82424"/>
    <w:rsid w:val="782F6C38"/>
    <w:rsid w:val="7C40271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99"/>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2</Pages>
  <Words>865</Words>
  <Characters>931</Characters>
  <Lines>0</Lines>
  <Paragraphs>0</Paragraphs>
  <TotalTime>0</TotalTime>
  <ScaleCrop>false</ScaleCrop>
  <LinksUpToDate>false</LinksUpToDate>
  <CharactersWithSpaces>980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2020-07-01T03:14:00Z</dcterms:created>
  <dc:creator>Administrator</dc:creator>
  <cp:lastModifiedBy>jiao</cp:lastModifiedBy>
  <cp:lastPrinted>2021-05-11T08:51:00Z</cp:lastPrinted>
  <dcterms:modified xsi:type="dcterms:W3CDTF">2023-09-01T03:17:03Z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816237A015EC4231B56998ED4C3B29C8</vt:lpwstr>
  </property>
</Properties>
</file>