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cs="楷体"/>
          <w:b/>
          <w:bCs/>
          <w:sz w:val="24"/>
          <w:szCs w:val="24"/>
        </w:rPr>
      </w:pPr>
      <w:r>
        <w:rPr>
          <w:rFonts w:hint="eastAsia" w:ascii="楷体" w:hAnsi="楷体" w:eastAsia="楷体" w:cs="楷体"/>
          <w:b/>
          <w:bCs/>
          <w:sz w:val="24"/>
          <w:szCs w:val="24"/>
        </w:rPr>
        <w:t>附件1：</w:t>
      </w:r>
    </w:p>
    <w:p/>
    <w:p>
      <w:pPr>
        <w:spacing w:before="240" w:after="240"/>
        <w:jc w:val="center"/>
        <w:rPr>
          <w:rFonts w:ascii="黑体" w:hAnsi="黑体" w:eastAsia="黑体" w:cs="黑体"/>
          <w:b/>
          <w:spacing w:val="-20"/>
          <w:sz w:val="44"/>
          <w:szCs w:val="44"/>
        </w:rPr>
      </w:pPr>
      <w:r>
        <w:rPr>
          <w:rFonts w:hint="eastAsia" w:ascii="黑体" w:hAnsi="黑体" w:eastAsia="黑体" w:cs="黑体"/>
          <w:b/>
          <w:spacing w:val="-20"/>
          <w:sz w:val="44"/>
          <w:szCs w:val="44"/>
        </w:rPr>
        <w:t>2023年度部门整体支出预算绩效目标申报表</w:t>
      </w:r>
    </w:p>
    <w:p>
      <w:pPr>
        <w:tabs>
          <w:tab w:val="left" w:pos="2593"/>
        </w:tabs>
        <w:rPr>
          <w:rFonts w:ascii="仿宋_GB2312" w:eastAsia="仿宋_GB2312"/>
          <w:b/>
          <w:bCs/>
        </w:rPr>
      </w:pPr>
      <w:r>
        <w:rPr>
          <w:rFonts w:hint="eastAsia" w:ascii="仿宋_GB2312" w:eastAsia="仿宋_GB2312"/>
          <w:b/>
          <w:bCs/>
          <w:sz w:val="24"/>
        </w:rPr>
        <w:t>填报单位：（盖章）</w:t>
      </w:r>
      <w:r>
        <w:rPr>
          <w:rFonts w:hint="eastAsia" w:ascii="仿宋_GB2312" w:eastAsia="仿宋_GB2312"/>
          <w:b/>
          <w:bCs/>
        </w:rPr>
        <w:tab/>
      </w:r>
      <w:r>
        <w:rPr>
          <w:rFonts w:hint="eastAsia" w:ascii="仿宋_GB2312" w:eastAsia="仿宋_GB2312"/>
          <w:b/>
          <w:bCs/>
        </w:rPr>
        <w:t xml:space="preserve">                                        单位：万元        </w:t>
      </w:r>
      <w:bookmarkStart w:id="0" w:name="_GoBack"/>
      <w:bookmarkEnd w:id="0"/>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jc w:val="center"/>
              <w:rPr>
                <w:rFonts w:ascii="仿宋" w:hAnsi="仿宋" w:eastAsia="仿宋" w:cs="仿宋"/>
              </w:rPr>
            </w:pPr>
            <w:r>
              <w:rPr>
                <w:rFonts w:hint="eastAsia" w:ascii="宋体" w:hAnsi="宋体" w:eastAsia="宋体" w:cs="宋体"/>
                <w:b w:val="0"/>
                <w:bCs w:val="0"/>
              </w:rPr>
              <w:t>部门名称</w:t>
            </w:r>
          </w:p>
        </w:tc>
        <w:tc>
          <w:tcPr>
            <w:tcW w:w="7681" w:type="dxa"/>
            <w:gridSpan w:val="5"/>
            <w:vAlign w:val="center"/>
          </w:tcPr>
          <w:p>
            <w:pPr>
              <w:jc w:val="center"/>
              <w:rPr>
                <w:rFonts w:ascii="仿宋" w:hAnsi="仿宋" w:eastAsia="仿宋" w:cs="仿宋"/>
              </w:rPr>
            </w:pPr>
            <w:r>
              <w:rPr>
                <w:rFonts w:ascii="仿宋" w:hAnsi="仿宋" w:eastAsia="仿宋" w:cs="仿宋"/>
              </w:rPr>
              <w:t>草市</w:t>
            </w:r>
            <w:r>
              <w:rPr>
                <w:rFonts w:hint="eastAsia" w:ascii="仿宋" w:hAnsi="仿宋" w:eastAsia="仿宋" w:cs="仿宋"/>
              </w:rPr>
              <w:t>镇</w:t>
            </w:r>
            <w:r>
              <w:rPr>
                <w:rFonts w:ascii="仿宋" w:hAnsi="仿宋" w:eastAsia="仿宋" w:cs="仿宋"/>
              </w:rPr>
              <w:t>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rPr>
              <w:t>年度预算申请</w:t>
            </w:r>
          </w:p>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（万元）</w:t>
            </w:r>
          </w:p>
        </w:tc>
        <w:tc>
          <w:tcPr>
            <w:tcW w:w="7681" w:type="dxa"/>
            <w:gridSpan w:val="5"/>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资金总额：</w:t>
            </w:r>
            <w:r>
              <w:rPr>
                <w:rFonts w:hint="eastAsia" w:asciiTheme="minorEastAsia" w:hAnsiTheme="minorEastAsia" w:eastAsiaTheme="minorEastAsia" w:cstheme="minorEastAsia"/>
                <w:b w:val="0"/>
                <w:bCs w:val="0"/>
                <w:lang w:val="en-US" w:eastAsia="zh-CN"/>
              </w:rPr>
              <w:t>1466.64</w:t>
            </w:r>
            <w:r>
              <w:rPr>
                <w:rFonts w:hint="eastAsia" w:asciiTheme="minorEastAsia" w:hAnsiTheme="minorEastAsia" w:eastAsiaTheme="minorEastAsia" w:cstheme="minorEastAsia"/>
                <w:b w:val="0"/>
                <w:bCs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3940" w:type="dxa"/>
            <w:gridSpan w:val="3"/>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按收入性质分：</w:t>
            </w:r>
          </w:p>
        </w:tc>
        <w:tc>
          <w:tcPr>
            <w:tcW w:w="3741"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3940" w:type="dxa"/>
            <w:gridSpan w:val="3"/>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其中： 一般公共预算：</w:t>
            </w:r>
            <w:r>
              <w:rPr>
                <w:rFonts w:hint="eastAsia" w:asciiTheme="minorEastAsia" w:hAnsiTheme="minorEastAsia" w:eastAsiaTheme="minorEastAsia" w:cstheme="minorEastAsia"/>
                <w:b w:val="0"/>
                <w:bCs w:val="0"/>
                <w:lang w:val="en-US" w:eastAsia="zh-CN"/>
              </w:rPr>
              <w:t>1466.64</w:t>
            </w:r>
            <w:r>
              <w:rPr>
                <w:rFonts w:hint="eastAsia" w:asciiTheme="minorEastAsia" w:hAnsiTheme="minorEastAsia" w:eastAsiaTheme="minorEastAsia" w:cstheme="minorEastAsia"/>
                <w:b w:val="0"/>
                <w:bCs w:val="0"/>
              </w:rPr>
              <w:t>万元</w:t>
            </w:r>
          </w:p>
        </w:tc>
        <w:tc>
          <w:tcPr>
            <w:tcW w:w="3741"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其中： 基本支出：</w:t>
            </w:r>
            <w:r>
              <w:rPr>
                <w:rFonts w:hint="eastAsia" w:asciiTheme="minorEastAsia" w:hAnsiTheme="minorEastAsia" w:eastAsiaTheme="minorEastAsia" w:cstheme="minorEastAsia"/>
                <w:b w:val="0"/>
                <w:bCs w:val="0"/>
                <w:lang w:val="en-US" w:eastAsia="zh-CN"/>
              </w:rPr>
              <w:t>1466.64</w:t>
            </w:r>
            <w:r>
              <w:rPr>
                <w:rFonts w:hint="eastAsia" w:asciiTheme="minorEastAsia" w:hAnsiTheme="minorEastAsia" w:eastAsiaTheme="minorEastAsia" w:cstheme="minorEastAsia"/>
                <w:b w:val="0"/>
                <w:bCs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3940" w:type="dxa"/>
            <w:gridSpan w:val="3"/>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 xml:space="preserve">       政府性基金拨款：</w:t>
            </w:r>
          </w:p>
        </w:tc>
        <w:tc>
          <w:tcPr>
            <w:tcW w:w="3741"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3940" w:type="dxa"/>
            <w:gridSpan w:val="3"/>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纳入专户管理的非税收入拨款：</w:t>
            </w:r>
          </w:p>
        </w:tc>
        <w:tc>
          <w:tcPr>
            <w:tcW w:w="3741"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3940" w:type="dxa"/>
            <w:gridSpan w:val="3"/>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 xml:space="preserve">       其他资金：</w:t>
            </w:r>
          </w:p>
        </w:tc>
        <w:tc>
          <w:tcPr>
            <w:tcW w:w="3741" w:type="dxa"/>
            <w:gridSpan w:val="2"/>
            <w:vAlign w:val="center"/>
          </w:tcPr>
          <w:p>
            <w:pPr>
              <w:rPr>
                <w:rFonts w:hint="eastAsia" w:asciiTheme="minorEastAsia" w:hAnsiTheme="minorEastAsia" w:eastAsiaTheme="minorEastAsia" w:cstheme="minorEastAsia"/>
                <w:b w:val="0"/>
                <w:bC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部门职能</w:t>
            </w:r>
          </w:p>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职责概述</w:t>
            </w:r>
          </w:p>
        </w:tc>
        <w:tc>
          <w:tcPr>
            <w:tcW w:w="7681" w:type="dxa"/>
            <w:gridSpan w:val="5"/>
            <w:vAlign w:val="center"/>
          </w:tcPr>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1、执行上级国家行政机关的决定、命令和国家制定的法令、法规，接受同级党委的领导，执行本级人民代表大会的各项决议，并报告执行决议、决定和命令的情况。</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2、制定并落实本行政区域的经济计划和措施，促进产业结构调整及其他经济保持平衡协调发展，全面提高人民群众的生活水平和生活质量。</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3、承担国有资产、集体资产管理、监督及增值保值责任;保护公民私人所有合法财产，保障集体经济组织应有的自主权;监督企业和各种经济联合体、个体户认真执行国家的法律、法令和政策，履行经济合同。</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4、加强乡镇级财政的监督和管理，按计划组织、管理镇财政收入和支出，执行国家有关财经纪律和政策，保证国家财政收入的完成;做好统计工作。</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5、指导、支持、帮助村(居)民委员会的组织制度建设和业务建设，促进村(居)民委员会民主自治。</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6、制定和组织实施乡、村建设规划;加强公用、市政设施、水利建设和管理以及房屋土地管理和环境综合整治工作，保护和改善生活环境和生态环境。</w:t>
            </w:r>
          </w:p>
          <w:p>
            <w:pPr>
              <w:kinsoku/>
              <w:autoSpaceDE/>
              <w:autoSpaceDN/>
              <w:adjustRightInd/>
              <w:snapToGrid/>
              <w:textAlignment w:val="auto"/>
              <w:rPr>
                <w:rFonts w:hint="eastAsia" w:asciiTheme="minorEastAsia" w:hAnsiTheme="minorEastAsia" w:eastAsiaTheme="minorEastAsia" w:cstheme="minorEastAsia"/>
                <w:b w:val="0"/>
                <w:bCs w:val="0"/>
                <w:snapToGrid/>
                <w:color w:val="232323"/>
              </w:rPr>
            </w:pPr>
            <w:r>
              <w:rPr>
                <w:rFonts w:hint="eastAsia" w:asciiTheme="minorEastAsia" w:hAnsiTheme="minorEastAsia" w:eastAsiaTheme="minorEastAsia" w:cstheme="minorEastAsia"/>
                <w:b w:val="0"/>
                <w:bCs w:val="0"/>
                <w:snapToGrid/>
                <w:color w:val="232323"/>
              </w:rPr>
              <w:t>7、协助和支持设置在本行政区域内不隶属于乡镇的国家机关和企事业单位工作，监督其遵守和执行国家的法律、法规和政策。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整体绩效目标</w:t>
            </w:r>
          </w:p>
        </w:tc>
        <w:tc>
          <w:tcPr>
            <w:tcW w:w="7681" w:type="dxa"/>
            <w:gridSpan w:val="5"/>
          </w:tcPr>
          <w:p>
            <w:pPr>
              <w:rPr>
                <w:rFonts w:hint="eastAsia" w:asciiTheme="minorEastAsia" w:hAnsiTheme="minorEastAsia" w:eastAsiaTheme="minorEastAsia" w:cstheme="minorEastAsia"/>
                <w:b w:val="0"/>
                <w:bCs w:val="0"/>
                <w:shd w:val="clear" w:color="auto" w:fill="FFFFFF"/>
              </w:rPr>
            </w:pPr>
            <w:r>
              <w:rPr>
                <w:rFonts w:hint="eastAsia" w:asciiTheme="minorEastAsia" w:hAnsiTheme="minorEastAsia" w:eastAsiaTheme="minorEastAsia" w:cstheme="minorEastAsia"/>
                <w:b w:val="0"/>
                <w:bCs w:val="0"/>
                <w:shd w:val="clear" w:color="auto" w:fill="FFFFFF"/>
              </w:rPr>
              <w:t>1：保障机构正常运转，保障日常办公、会议的正常开展和公务用车维护等。</w:t>
            </w:r>
          </w:p>
          <w:p>
            <w:pPr>
              <w:rPr>
                <w:rFonts w:hint="eastAsia" w:asciiTheme="minorEastAsia" w:hAnsiTheme="minorEastAsia" w:eastAsiaTheme="minorEastAsia" w:cstheme="minorEastAsia"/>
                <w:b w:val="0"/>
                <w:bCs w:val="0"/>
                <w:shd w:val="clear" w:color="auto" w:fill="FFFFFF"/>
              </w:rPr>
            </w:pPr>
            <w:r>
              <w:rPr>
                <w:rFonts w:hint="eastAsia" w:asciiTheme="minorEastAsia" w:hAnsiTheme="minorEastAsia" w:eastAsiaTheme="minorEastAsia" w:cstheme="minorEastAsia"/>
                <w:b w:val="0"/>
                <w:bCs w:val="0"/>
                <w:shd w:val="clear" w:color="auto" w:fill="FFFFFF"/>
              </w:rPr>
              <w:t> 2：保障职工基本工资福利待遇，支付购买劳务费，配合全乡常规、紧急工作。</w:t>
            </w:r>
          </w:p>
          <w:p>
            <w:pPr>
              <w:rPr>
                <w:rFonts w:hint="eastAsia" w:asciiTheme="minorEastAsia" w:hAnsiTheme="minorEastAsia" w:eastAsiaTheme="minorEastAsia" w:cstheme="minorEastAsia"/>
                <w:b w:val="0"/>
                <w:bCs w:val="0"/>
                <w:shd w:val="clear" w:color="auto" w:fill="FFFFFF"/>
              </w:rPr>
            </w:pPr>
            <w:r>
              <w:rPr>
                <w:rFonts w:hint="eastAsia" w:asciiTheme="minorEastAsia" w:hAnsiTheme="minorEastAsia" w:eastAsiaTheme="minorEastAsia" w:cstheme="minorEastAsia"/>
                <w:b w:val="0"/>
                <w:bCs w:val="0"/>
                <w:shd w:val="clear" w:color="auto" w:fill="FFFFFF"/>
              </w:rPr>
              <w:t>3：确保乡村环境卫生，提高乡镇知名度，打造文化旅游小镇和文明创建示范乡镇4：巩固脱贫成果，做好乡村振兴工作，确保脱贫户无返贫风险，实现村民稳定增收；应对突发社会事务，做好特殊群体帮扶。</w:t>
            </w:r>
          </w:p>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shd w:val="clear" w:color="auto" w:fill="FFFFFF"/>
              </w:rPr>
              <w:t>5：做好民政、医社保、农林水和综治维稳等工作，促进乡镇经济发展，维护社会和谐稳定，增加群众幸福感。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部门整体支出</w:t>
            </w:r>
          </w:p>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年度绩效指标</w:t>
            </w:r>
          </w:p>
        </w:tc>
        <w:tc>
          <w:tcPr>
            <w:tcW w:w="1406"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一级指标</w:t>
            </w:r>
          </w:p>
        </w:tc>
        <w:tc>
          <w:tcPr>
            <w:tcW w:w="1755"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二级指标</w:t>
            </w:r>
          </w:p>
        </w:tc>
        <w:tc>
          <w:tcPr>
            <w:tcW w:w="1740" w:type="dxa"/>
            <w:gridSpan w:val="2"/>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三级指标</w:t>
            </w:r>
          </w:p>
        </w:tc>
        <w:tc>
          <w:tcPr>
            <w:tcW w:w="2780"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产出指标</w:t>
            </w:r>
          </w:p>
        </w:tc>
        <w:tc>
          <w:tcPr>
            <w:tcW w:w="1755"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数量指标</w:t>
            </w:r>
          </w:p>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lang w:val="en-US" w:eastAsia="zh-CN"/>
              </w:rPr>
              <w:t>财政供养人数</w:t>
            </w:r>
          </w:p>
        </w:tc>
        <w:tc>
          <w:tcPr>
            <w:tcW w:w="2780" w:type="dxa"/>
            <w:vAlign w:val="center"/>
          </w:tcPr>
          <w:p>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lang w:val="en-US" w:eastAsia="zh-CN"/>
              </w:rPr>
              <w:t>71人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continue"/>
            <w:vAlign w:val="center"/>
          </w:tcPr>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color w:val="333333"/>
                <w:shd w:val="clear" w:color="auto" w:fill="FFFFFF"/>
                <w:lang w:eastAsia="zh-CN"/>
              </w:rPr>
              <w:t>部门履职远转</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争取报障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质量指标</w:t>
            </w:r>
          </w:p>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color w:val="333333"/>
                <w:shd w:val="clear" w:color="auto" w:fill="FFFFFF"/>
                <w:lang w:eastAsia="zh-CN"/>
              </w:rPr>
              <w:t>在职人员控制律</w:t>
            </w:r>
          </w:p>
        </w:tc>
        <w:tc>
          <w:tcPr>
            <w:tcW w:w="2780" w:type="dxa"/>
            <w:vAlign w:val="center"/>
          </w:tcPr>
          <w:p>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lang w:eastAsia="zh-CN"/>
              </w:rPr>
              <w:t>≤</w:t>
            </w:r>
            <w:r>
              <w:rPr>
                <w:rFonts w:hint="eastAsia" w:asciiTheme="minorEastAsia" w:hAnsiTheme="minorEastAsia" w:eastAsiaTheme="minorEastAsia" w:cstheme="minorEastAsia"/>
                <w:b w:val="0"/>
                <w:bCs w:val="0"/>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continue"/>
            <w:vAlign w:val="center"/>
          </w:tcPr>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公用经费控制率</w:t>
            </w:r>
          </w:p>
        </w:tc>
        <w:tc>
          <w:tcPr>
            <w:tcW w:w="2780"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lang w:eastAsia="zh-CN"/>
              </w:rPr>
              <w:t>≤</w:t>
            </w:r>
            <w:r>
              <w:rPr>
                <w:rFonts w:hint="eastAsia" w:asciiTheme="minorEastAsia" w:hAnsiTheme="minorEastAsia" w:eastAsiaTheme="minorEastAsia" w:cstheme="minorEastAsia"/>
                <w:b w:val="0"/>
                <w:bCs w:val="0"/>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成本指标</w:t>
            </w:r>
          </w:p>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default"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color w:val="333333"/>
                <w:shd w:val="clear" w:color="auto" w:fill="FFFFFF"/>
                <w:lang w:val="en-US" w:eastAsia="zh-CN"/>
              </w:rPr>
              <w:t>保障财政供养人员</w:t>
            </w:r>
          </w:p>
        </w:tc>
        <w:tc>
          <w:tcPr>
            <w:tcW w:w="2780" w:type="dxa"/>
            <w:vAlign w:val="center"/>
          </w:tcPr>
          <w:p>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lang w:val="en-US" w:eastAsia="zh-CN"/>
              </w:rPr>
              <w:t>714.64万元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continue"/>
            <w:vAlign w:val="center"/>
          </w:tcPr>
          <w:p>
            <w:pPr>
              <w:jc w:val="center"/>
              <w:rPr>
                <w:rFonts w:hint="eastAsia" w:asciiTheme="minorEastAsia" w:hAnsiTheme="minorEastAsia" w:eastAsiaTheme="minorEastAsia" w:cstheme="minorEastAsia"/>
                <w:b w:val="0"/>
                <w:bCs w:val="0"/>
              </w:rPr>
            </w:pPr>
          </w:p>
        </w:tc>
        <w:tc>
          <w:tcPr>
            <w:tcW w:w="1740" w:type="dxa"/>
            <w:gridSpan w:val="2"/>
            <w:vAlign w:val="center"/>
          </w:tcPr>
          <w:p>
            <w:pPr>
              <w:jc w:val="center"/>
              <w:rPr>
                <w:rFonts w:hint="default" w:asciiTheme="minorEastAsia" w:hAnsiTheme="minorEastAsia" w:eastAsiaTheme="minorEastAsia" w:cstheme="minorEastAsia"/>
                <w:b w:val="0"/>
                <w:bCs w:val="0"/>
                <w:lang w:val="en-US"/>
              </w:rPr>
            </w:pPr>
            <w:r>
              <w:rPr>
                <w:rFonts w:hint="eastAsia" w:asciiTheme="minorEastAsia" w:hAnsiTheme="minorEastAsia" w:eastAsiaTheme="minorEastAsia" w:cstheme="minorEastAsia"/>
                <w:b w:val="0"/>
                <w:bCs w:val="0"/>
                <w:color w:val="333333"/>
                <w:shd w:val="clear" w:color="auto" w:fill="FFFFFF"/>
                <w:lang w:val="en-US" w:eastAsia="zh-CN"/>
              </w:rPr>
              <w:t>保障单位正常运转</w:t>
            </w:r>
          </w:p>
        </w:tc>
        <w:tc>
          <w:tcPr>
            <w:tcW w:w="2780" w:type="dxa"/>
            <w:vAlign w:val="center"/>
          </w:tcPr>
          <w:p>
            <w:pPr>
              <w:jc w:val="center"/>
              <w:rPr>
                <w:rFonts w:hint="eastAsia" w:asciiTheme="minorEastAsia" w:hAnsiTheme="minorEastAsia" w:eastAsiaTheme="minorEastAsia" w:cstheme="minorEastAsia"/>
                <w:b w:val="0"/>
                <w:bCs w:val="0"/>
                <w:lang w:val="en-US" w:eastAsia="zh-CN"/>
              </w:rPr>
            </w:pPr>
            <w:r>
              <w:rPr>
                <w:rFonts w:hint="eastAsia" w:asciiTheme="minorEastAsia" w:hAnsiTheme="minorEastAsia" w:eastAsiaTheme="minorEastAsia" w:cstheme="minorEastAsia"/>
                <w:b w:val="0"/>
                <w:bCs w:val="0"/>
                <w:lang w:val="en-US" w:eastAsia="zh-CN"/>
              </w:rPr>
              <w:t>752万元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jc w:val="cente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时效指标</w:t>
            </w:r>
          </w:p>
          <w:p>
            <w:pPr>
              <w:jc w:val="center"/>
              <w:rPr>
                <w:rFonts w:hint="eastAsia" w:asciiTheme="minorEastAsia" w:hAnsiTheme="minorEastAsia" w:eastAsiaTheme="minorEastAsia" w:cstheme="minorEastAsia"/>
                <w:b w:val="0"/>
                <w:bCs w:val="0"/>
              </w:rPr>
            </w:pPr>
          </w:p>
        </w:tc>
        <w:tc>
          <w:tcPr>
            <w:tcW w:w="1740" w:type="dxa"/>
            <w:gridSpan w:val="2"/>
            <w:vAlign w:val="center"/>
          </w:tcPr>
          <w:p>
            <w:pP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color w:val="333333"/>
                <w:shd w:val="clear" w:color="auto" w:fill="FFFFFF"/>
                <w:lang w:eastAsia="zh-CN"/>
              </w:rPr>
              <w:t>完成职责及任务期限</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1406"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效益指标</w:t>
            </w:r>
          </w:p>
          <w:p>
            <w:pPr>
              <w:jc w:val="center"/>
              <w:rPr>
                <w:rFonts w:hint="eastAsia" w:asciiTheme="minorEastAsia" w:hAnsiTheme="minorEastAsia" w:eastAsiaTheme="minorEastAsia" w:cstheme="minorEastAsia"/>
                <w:b w:val="0"/>
                <w:bCs w:val="0"/>
              </w:rPr>
            </w:pPr>
          </w:p>
        </w:tc>
        <w:tc>
          <w:tcPr>
            <w:tcW w:w="1755"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经济效益指标</w:t>
            </w:r>
          </w:p>
        </w:tc>
        <w:tc>
          <w:tcPr>
            <w:tcW w:w="1740" w:type="dxa"/>
            <w:gridSpan w:val="2"/>
            <w:vAlign w:val="center"/>
          </w:tcPr>
          <w:p>
            <w:pP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居民人均收入</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社会效益指标</w:t>
            </w:r>
          </w:p>
          <w:p>
            <w:pPr>
              <w:jc w:val="center"/>
              <w:rPr>
                <w:rFonts w:hint="eastAsia" w:asciiTheme="minorEastAsia" w:hAnsiTheme="minorEastAsia" w:eastAsiaTheme="minorEastAsia" w:cstheme="minorEastAsia"/>
                <w:b w:val="0"/>
                <w:bCs w:val="0"/>
              </w:rPr>
            </w:pPr>
          </w:p>
        </w:tc>
        <w:tc>
          <w:tcPr>
            <w:tcW w:w="1740" w:type="dxa"/>
            <w:gridSpan w:val="2"/>
            <w:vAlign w:val="center"/>
          </w:tcPr>
          <w:p>
            <w:pP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color w:val="333333"/>
                <w:shd w:val="clear" w:color="auto" w:fill="FFFFFF"/>
                <w:lang w:eastAsia="zh-CN"/>
              </w:rPr>
              <w:t>城镇化建设</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加快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1" w:type="dxa"/>
            <w:vMerge w:val="continue"/>
            <w:vAlign w:val="center"/>
          </w:tcPr>
          <w:p>
            <w:pPr>
              <w:rPr>
                <w:rFonts w:hint="eastAsia" w:asciiTheme="minorEastAsia" w:hAnsiTheme="minorEastAsia" w:eastAsiaTheme="minorEastAsia" w:cstheme="minorEastAsia"/>
                <w:b w:val="0"/>
                <w:bCs w:val="0"/>
              </w:rPr>
            </w:pPr>
          </w:p>
        </w:tc>
        <w:tc>
          <w:tcPr>
            <w:tcW w:w="1406" w:type="dxa"/>
            <w:vMerge w:val="continue"/>
            <w:vAlign w:val="center"/>
          </w:tcPr>
          <w:p>
            <w:pPr>
              <w:jc w:val="center"/>
              <w:rPr>
                <w:rFonts w:hint="eastAsia" w:asciiTheme="minorEastAsia" w:hAnsiTheme="minorEastAsia" w:eastAsiaTheme="minorEastAsia" w:cstheme="minorEastAsia"/>
                <w:b w:val="0"/>
                <w:bCs w:val="0"/>
              </w:rPr>
            </w:pPr>
          </w:p>
        </w:tc>
        <w:tc>
          <w:tcPr>
            <w:tcW w:w="1755"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生态效益指标</w:t>
            </w:r>
          </w:p>
        </w:tc>
        <w:tc>
          <w:tcPr>
            <w:tcW w:w="1740"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环境卫生改善，农林水资源环境得到保护</w:t>
            </w:r>
          </w:p>
        </w:tc>
        <w:tc>
          <w:tcPr>
            <w:tcW w:w="2780"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有效保护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761" w:type="dxa"/>
            <w:vMerge w:val="continue"/>
          </w:tcPr>
          <w:p>
            <w:pPr>
              <w:rPr>
                <w:rFonts w:hint="eastAsia" w:asciiTheme="minorEastAsia" w:hAnsiTheme="minorEastAsia" w:eastAsiaTheme="minorEastAsia" w:cstheme="minorEastAsia"/>
                <w:b w:val="0"/>
                <w:bCs w:val="0"/>
              </w:rPr>
            </w:pPr>
          </w:p>
        </w:tc>
        <w:tc>
          <w:tcPr>
            <w:tcW w:w="1406" w:type="dxa"/>
            <w:vMerge w:val="continue"/>
          </w:tcPr>
          <w:p>
            <w:pPr>
              <w:jc w:val="center"/>
              <w:rPr>
                <w:rFonts w:hint="eastAsia" w:asciiTheme="minorEastAsia" w:hAnsiTheme="minorEastAsia" w:eastAsiaTheme="minorEastAsia" w:cstheme="minorEastAsia"/>
                <w:b w:val="0"/>
                <w:bCs w:val="0"/>
              </w:rPr>
            </w:pPr>
          </w:p>
        </w:tc>
        <w:tc>
          <w:tcPr>
            <w:tcW w:w="1755" w:type="dxa"/>
            <w:vMerge w:val="continue"/>
          </w:tcPr>
          <w:p>
            <w:pPr>
              <w:jc w:val="center"/>
              <w:rPr>
                <w:rFonts w:hint="eastAsia" w:asciiTheme="minorEastAsia" w:hAnsiTheme="minorEastAsia" w:eastAsiaTheme="minorEastAsia" w:cstheme="minorEastAsia"/>
                <w:b w:val="0"/>
                <w:bCs w:val="0"/>
              </w:rPr>
            </w:pPr>
          </w:p>
        </w:tc>
        <w:tc>
          <w:tcPr>
            <w:tcW w:w="1740" w:type="dxa"/>
            <w:gridSpan w:val="2"/>
            <w:vAlign w:val="center"/>
          </w:tcPr>
          <w:p>
            <w:pP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乡村绿化水平</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rPr>
                <w:rFonts w:hint="eastAsia" w:asciiTheme="minorEastAsia" w:hAnsiTheme="minorEastAsia" w:eastAsiaTheme="minorEastAsia" w:cstheme="minorEastAsia"/>
                <w:b w:val="0"/>
                <w:bCs w:val="0"/>
              </w:rPr>
            </w:pPr>
          </w:p>
        </w:tc>
        <w:tc>
          <w:tcPr>
            <w:tcW w:w="1406" w:type="dxa"/>
            <w:vMerge w:val="continue"/>
          </w:tcPr>
          <w:p>
            <w:pPr>
              <w:jc w:val="center"/>
              <w:rPr>
                <w:rFonts w:hint="eastAsia" w:asciiTheme="minorEastAsia" w:hAnsiTheme="minorEastAsia" w:eastAsiaTheme="minorEastAsia" w:cstheme="minorEastAsia"/>
                <w:b w:val="0"/>
                <w:bCs w:val="0"/>
              </w:rPr>
            </w:pPr>
          </w:p>
        </w:tc>
        <w:tc>
          <w:tcPr>
            <w:tcW w:w="1755" w:type="dxa"/>
            <w:vMerge w:val="restart"/>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可持续影响指标</w:t>
            </w:r>
          </w:p>
        </w:tc>
        <w:tc>
          <w:tcPr>
            <w:tcW w:w="1740"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color w:val="333333"/>
                <w:shd w:val="clear" w:color="auto" w:fill="FFFFFF"/>
              </w:rPr>
              <w:t>持续保障政府机关正常运行，做好稳定发展服务工作，持续提升人民群众幸福指数</w:t>
            </w:r>
          </w:p>
        </w:tc>
        <w:tc>
          <w:tcPr>
            <w:tcW w:w="2780"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持续保障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761" w:type="dxa"/>
            <w:vMerge w:val="continue"/>
          </w:tcPr>
          <w:p>
            <w:pPr>
              <w:rPr>
                <w:rFonts w:hint="eastAsia" w:asciiTheme="minorEastAsia" w:hAnsiTheme="minorEastAsia" w:eastAsiaTheme="minorEastAsia" w:cstheme="minorEastAsia"/>
                <w:b w:val="0"/>
                <w:bCs w:val="0"/>
              </w:rPr>
            </w:pPr>
          </w:p>
        </w:tc>
        <w:tc>
          <w:tcPr>
            <w:tcW w:w="1406" w:type="dxa"/>
            <w:vMerge w:val="continue"/>
          </w:tcPr>
          <w:p>
            <w:pPr>
              <w:jc w:val="center"/>
              <w:rPr>
                <w:rFonts w:hint="eastAsia" w:asciiTheme="minorEastAsia" w:hAnsiTheme="minorEastAsia" w:eastAsiaTheme="minorEastAsia" w:cstheme="minorEastAsia"/>
                <w:b w:val="0"/>
                <w:bCs w:val="0"/>
              </w:rPr>
            </w:pPr>
          </w:p>
        </w:tc>
        <w:tc>
          <w:tcPr>
            <w:tcW w:w="1755" w:type="dxa"/>
            <w:vMerge w:val="continue"/>
            <w:vAlign w:val="center"/>
          </w:tcPr>
          <w:p>
            <w:pPr>
              <w:jc w:val="center"/>
              <w:rPr>
                <w:rFonts w:hint="eastAsia" w:asciiTheme="minorEastAsia" w:hAnsiTheme="minorEastAsia" w:eastAsiaTheme="minorEastAsia" w:cstheme="minorEastAsia"/>
                <w:b w:val="0"/>
                <w:bCs w:val="0"/>
              </w:rPr>
            </w:pPr>
          </w:p>
        </w:tc>
        <w:tc>
          <w:tcPr>
            <w:tcW w:w="1740" w:type="dxa"/>
            <w:gridSpan w:val="2"/>
            <w:vAlign w:val="center"/>
          </w:tcPr>
          <w:p>
            <w:pP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促进经济发展</w:t>
            </w:r>
          </w:p>
        </w:tc>
        <w:tc>
          <w:tcPr>
            <w:tcW w:w="2780" w:type="dxa"/>
            <w:vAlign w:val="center"/>
          </w:tcPr>
          <w:p>
            <w:pPr>
              <w:jc w:val="center"/>
              <w:rPr>
                <w:rFonts w:hint="eastAsia" w:asciiTheme="minorEastAsia" w:hAnsiTheme="minorEastAsia" w:eastAsiaTheme="minorEastAsia" w:cstheme="minorEastAsia"/>
                <w:b w:val="0"/>
                <w:bCs w:val="0"/>
                <w:lang w:eastAsia="zh-CN"/>
              </w:rPr>
            </w:pPr>
            <w:r>
              <w:rPr>
                <w:rFonts w:hint="eastAsia" w:asciiTheme="minorEastAsia" w:hAnsiTheme="minorEastAsia" w:eastAsiaTheme="minorEastAsia" w:cstheme="minorEastAsia"/>
                <w:b w:val="0"/>
                <w:bCs w:val="0"/>
                <w:lang w:eastAsia="zh-CN"/>
              </w:rPr>
              <w:t>有效提高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rPr>
                <w:rFonts w:hint="eastAsia" w:asciiTheme="minorEastAsia" w:hAnsiTheme="minorEastAsia" w:eastAsiaTheme="minorEastAsia" w:cstheme="minorEastAsia"/>
                <w:b w:val="0"/>
                <w:bCs w:val="0"/>
              </w:rPr>
            </w:pPr>
          </w:p>
        </w:tc>
        <w:tc>
          <w:tcPr>
            <w:tcW w:w="1406" w:type="dxa"/>
          </w:tcPr>
          <w:p>
            <w:pPr>
              <w:jc w:val="center"/>
              <w:rPr>
                <w:rFonts w:hint="eastAsia" w:asciiTheme="minorEastAsia" w:hAnsiTheme="minorEastAsia" w:eastAsiaTheme="minorEastAsia" w:cstheme="minorEastAsia"/>
                <w:b w:val="0"/>
                <w:bCs w:val="0"/>
              </w:rPr>
            </w:pPr>
          </w:p>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满意度</w:t>
            </w:r>
          </w:p>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指标</w:t>
            </w:r>
          </w:p>
        </w:tc>
        <w:tc>
          <w:tcPr>
            <w:tcW w:w="1755"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社会公众或服务对象满意度</w:t>
            </w:r>
          </w:p>
        </w:tc>
        <w:tc>
          <w:tcPr>
            <w:tcW w:w="1740" w:type="dxa"/>
            <w:gridSpan w:val="2"/>
            <w:vAlign w:val="center"/>
          </w:tcPr>
          <w:p>
            <w:pP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color w:val="333333"/>
                <w:shd w:val="clear" w:color="auto" w:fill="FFFFFF"/>
              </w:rPr>
              <w:t>群众满意度</w:t>
            </w:r>
          </w:p>
        </w:tc>
        <w:tc>
          <w:tcPr>
            <w:tcW w:w="2780" w:type="dxa"/>
            <w:vAlign w:val="center"/>
          </w:tcPr>
          <w:p>
            <w:pPr>
              <w:jc w:val="center"/>
              <w:rPr>
                <w:rFonts w:hint="eastAsia" w:asciiTheme="minorEastAsia" w:hAnsiTheme="minorEastAsia" w:eastAsiaTheme="minorEastAsia" w:cstheme="minorEastAsia"/>
                <w:b w:val="0"/>
                <w:bCs w:val="0"/>
              </w:rPr>
            </w:pPr>
            <w:r>
              <w:rPr>
                <w:rFonts w:hint="eastAsia" w:asciiTheme="minorEastAsia" w:hAnsiTheme="minorEastAsia" w:eastAsiaTheme="minorEastAsia" w:cstheme="minorEastAsia"/>
                <w:b w:val="0"/>
                <w:bCs w:val="0"/>
              </w:rPr>
              <w:t>98%以上</w:t>
            </w:r>
          </w:p>
        </w:tc>
      </w:tr>
    </w:tbl>
    <w:p>
      <w:pPr>
        <w:tabs>
          <w:tab w:val="left" w:pos="2593"/>
        </w:tabs>
        <w:rPr>
          <w:rFonts w:hint="eastAsia" w:asciiTheme="minorEastAsia" w:hAnsiTheme="minorEastAsia" w:eastAsiaTheme="minorEastAsia" w:cstheme="minorEastAsia"/>
          <w:b w:val="0"/>
          <w:bCs w:val="0"/>
        </w:rPr>
      </w:pPr>
    </w:p>
    <w:p>
      <w:pPr>
        <w:tabs>
          <w:tab w:val="left" w:pos="1333"/>
          <w:tab w:val="left" w:pos="3793"/>
          <w:tab w:val="left" w:pos="5853"/>
        </w:tabs>
        <w:ind w:firstLine="420" w:firstLineChars="200"/>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rPr>
        <w:t>填表人：</w:t>
      </w:r>
      <w:r>
        <w:rPr>
          <w:rFonts w:hint="eastAsia" w:asciiTheme="minorEastAsia" w:hAnsiTheme="minorEastAsia" w:eastAsiaTheme="minorEastAsia" w:cstheme="minorEastAsia"/>
          <w:b w:val="0"/>
          <w:bCs w:val="0"/>
          <w:lang w:eastAsia="zh-CN"/>
        </w:rPr>
        <w:t>陈德</w:t>
      </w:r>
      <w:r>
        <w:rPr>
          <w:rFonts w:hint="eastAsia" w:asciiTheme="minorEastAsia" w:hAnsiTheme="minorEastAsia" w:eastAsiaTheme="minorEastAsia" w:cstheme="minorEastAsia"/>
          <w:b w:val="0"/>
          <w:bCs w:val="0"/>
        </w:rPr>
        <w:t xml:space="preserve">          联系电话：</w:t>
      </w:r>
      <w:r>
        <w:rPr>
          <w:rFonts w:hint="eastAsia" w:asciiTheme="minorEastAsia" w:hAnsiTheme="minorEastAsia" w:eastAsiaTheme="minorEastAsia" w:cstheme="minorEastAsia"/>
          <w:b w:val="0"/>
          <w:bCs w:val="0"/>
          <w:lang w:val="en-US" w:eastAsia="zh-CN"/>
        </w:rPr>
        <w:t>18773939496</w:t>
      </w:r>
      <w:r>
        <w:rPr>
          <w:rFonts w:hint="eastAsia" w:asciiTheme="minorEastAsia" w:hAnsiTheme="minorEastAsia" w:eastAsiaTheme="minorEastAsia" w:cstheme="minorEastAsia"/>
          <w:b w:val="0"/>
          <w:bCs w:val="0"/>
        </w:rPr>
        <w:t xml:space="preserve">          单位负责人签字：</w:t>
      </w:r>
    </w:p>
    <w:p>
      <w:pPr>
        <w:rPr>
          <w:rFonts w:hint="eastAsia" w:asciiTheme="minorEastAsia" w:hAnsiTheme="minorEastAsia" w:eastAsiaTheme="minorEastAsia" w:cstheme="minorEastAsia"/>
          <w:b w:val="0"/>
          <w:bCs w:val="0"/>
        </w:rPr>
      </w:pPr>
    </w:p>
    <w:sectPr>
      <w:footerReference r:id="rId3" w:type="default"/>
      <w:pgSz w:w="12190" w:h="17030"/>
      <w:pgMar w:top="1447" w:right="1701" w:bottom="400" w:left="170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jMzY0NDhjMGJjM2U2MzE5ZGI2ZWQ0Y2U3OTg1YzYifQ=="/>
  </w:docVars>
  <w:rsids>
    <w:rsidRoot w:val="77F37B20"/>
    <w:rsid w:val="00003427"/>
    <w:rsid w:val="002977C3"/>
    <w:rsid w:val="00351A25"/>
    <w:rsid w:val="005D258D"/>
    <w:rsid w:val="007412FF"/>
    <w:rsid w:val="00832F49"/>
    <w:rsid w:val="008A7DCE"/>
    <w:rsid w:val="00AD6BFF"/>
    <w:rsid w:val="00B12D9D"/>
    <w:rsid w:val="00B22E1C"/>
    <w:rsid w:val="00B33327"/>
    <w:rsid w:val="00BA6D3E"/>
    <w:rsid w:val="00BE1EB2"/>
    <w:rsid w:val="00C433FF"/>
    <w:rsid w:val="00DE56E7"/>
    <w:rsid w:val="00DF6C4E"/>
    <w:rsid w:val="02F05A75"/>
    <w:rsid w:val="06215981"/>
    <w:rsid w:val="1A292072"/>
    <w:rsid w:val="2BED5333"/>
    <w:rsid w:val="2C7D1F40"/>
    <w:rsid w:val="2CD637F5"/>
    <w:rsid w:val="3391388D"/>
    <w:rsid w:val="3C0E6083"/>
    <w:rsid w:val="3DBB1D66"/>
    <w:rsid w:val="425E48CA"/>
    <w:rsid w:val="48E54635"/>
    <w:rsid w:val="4D047AEC"/>
    <w:rsid w:val="52052A88"/>
    <w:rsid w:val="57993556"/>
    <w:rsid w:val="77F37B20"/>
    <w:rsid w:val="79667D5C"/>
    <w:rsid w:val="7C054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99"/>
    <w:pPr>
      <w:spacing w:beforeAutospacing="1" w:afterAutospacing="1"/>
    </w:pPr>
    <w:rPr>
      <w:rFonts w:cs="Times New Roman"/>
      <w:sz w:val="24"/>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ra</Company>
  <Pages>2</Pages>
  <Words>1112</Words>
  <Characters>1162</Characters>
  <Lines>10</Lines>
  <Paragraphs>2</Paragraphs>
  <TotalTime>1</TotalTime>
  <ScaleCrop>false</ScaleCrop>
  <LinksUpToDate>false</LinksUpToDate>
  <CharactersWithSpaces>1264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一帆</cp:lastModifiedBy>
  <dcterms:modified xsi:type="dcterms:W3CDTF">2023-04-24T12:00:26Z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1808EE989CF446F8B893A9555E53CB9E_13</vt:lpwstr>
  </property>
</Properties>
</file>