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ind w:firstLine="402" w:firstLineChars="100"/>
        <w:jc w:val="both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48" w:tblpY="312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226"/>
        <w:gridCol w:w="1485"/>
        <w:gridCol w:w="1229"/>
        <w:gridCol w:w="1606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衡东县吴集镇人民政府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2978.41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2978.4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2978.4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2978.41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2978.41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；五是加强基层党建，巩固基层政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保障全镇在职人员1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人，离退休人员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人的正常办公、生活秩序；保障全镇32个行政村3个社区正常办公运转需求；主要解决全镇32个行政村村民最关心、最直接、最现实的利益问题，包括村各项公益事业建设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；统揽全局，坚决打赢疫情防控阻击战；加强社会管理，维护社会秩序和社会稳定；进一步推进项目建设，助推全县经济发展。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13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财政供养人员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14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部门单位履职、运转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保障财政供养人员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≤1594.85万元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保障单位正常运转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≤1383.56万元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完成各项资金支出进度要求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粮食生产总量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≥5.8万吨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全面开展乡村振兴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≥95093人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受益行政村（社区）个数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≥32个村3个社区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维修道路，绿化环境切实改善农村人居环境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体现政策导向，长期保障工作平稳进行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单位职工满意度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2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全镇人民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满意度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梁曼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173474001800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bookmarkStart w:id="0" w:name="_GoBack"/>
      <w:bookmarkEnd w:id="0"/>
    </w:p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ZjZkZDkwNzE0N2RlMTBiZGRmNWMxYzM0YWQ2ZjMifQ=="/>
  </w:docVars>
  <w:rsids>
    <w:rsidRoot w:val="77F37B20"/>
    <w:rsid w:val="02F05A75"/>
    <w:rsid w:val="1BD9556B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75970689"/>
    <w:rsid w:val="77F37B20"/>
    <w:rsid w:val="79667D5C"/>
    <w:rsid w:val="7B3A71B6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765</Words>
  <Characters>853</Characters>
  <Lines>0</Lines>
  <Paragraphs>0</Paragraphs>
  <TotalTime>22</TotalTime>
  <ScaleCrop>false</ScaleCrop>
  <LinksUpToDate>false</LinksUpToDate>
  <CharactersWithSpaces>950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thee</cp:lastModifiedBy>
  <cp:lastPrinted>2023-03-15T07:33:00Z</cp:lastPrinted>
  <dcterms:modified xsi:type="dcterms:W3CDTF">2023-04-23T02:18:55Z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7CBC736B027F4A489AF05458DC74BAA9</vt:lpwstr>
  </property>
</Properties>
</file>