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99"/>
        <w:ind w:firstLine="2168" w:firstLineChars="600"/>
        <w:jc w:val="both"/>
        <w:rPr>
          <w:b/>
          <w:bCs/>
        </w:rPr>
      </w:pPr>
      <w:r>
        <w:rPr>
          <w:rFonts w:hint="eastAsia"/>
          <w:b/>
          <w:bCs/>
          <w:lang w:val="en-US" w:eastAsia="zh-CN"/>
        </w:rPr>
        <w:t>2023年度</w:t>
      </w:r>
      <w:r>
        <w:rPr>
          <w:b/>
          <w:bCs/>
        </w:rPr>
        <w:t>预算支出绩效</w:t>
      </w:r>
      <w:r>
        <w:rPr>
          <w:rFonts w:hint="eastAsia"/>
          <w:b/>
          <w:bCs/>
          <w:lang w:val="en-US" w:eastAsia="zh-CN"/>
        </w:rPr>
        <w:t>目标申报</w:t>
      </w:r>
      <w:r>
        <w:rPr>
          <w:b/>
          <w:bCs/>
        </w:rPr>
        <w:t>表</w:t>
      </w:r>
    </w:p>
    <w:tbl>
      <w:tblPr>
        <w:tblStyle w:val="4"/>
        <w:tblW w:w="9998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991"/>
        <w:gridCol w:w="1123"/>
        <w:gridCol w:w="1770"/>
        <w:gridCol w:w="1710"/>
        <w:gridCol w:w="1260"/>
        <w:gridCol w:w="20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35" w:type="dxa"/>
            <w:noWrap w:val="0"/>
            <w:vAlign w:val="top"/>
          </w:tcPr>
          <w:p>
            <w:pPr>
              <w:pStyle w:val="6"/>
              <w:spacing w:before="38" w:line="230" w:lineRule="auto"/>
              <w:ind w:left="251" w:right="241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项目支出名称</w:t>
            </w:r>
          </w:p>
        </w:tc>
        <w:tc>
          <w:tcPr>
            <w:tcW w:w="8863" w:type="dxa"/>
            <w:gridSpan w:val="6"/>
            <w:noWrap w:val="0"/>
            <w:vAlign w:val="center"/>
          </w:tcPr>
          <w:p>
            <w:pPr>
              <w:ind w:left="0" w:leftChars="0" w:right="0" w:rightChars="0"/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社零统计、衡东土菜、电商扶持发展专项资金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35" w:type="dxa"/>
            <w:noWrap w:val="0"/>
            <w:vAlign w:val="top"/>
          </w:tcPr>
          <w:p>
            <w:pPr>
              <w:pStyle w:val="6"/>
              <w:spacing w:before="34"/>
              <w:ind w:left="111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主管部门</w:t>
            </w:r>
          </w:p>
        </w:tc>
        <w:tc>
          <w:tcPr>
            <w:tcW w:w="5594" w:type="dxa"/>
            <w:gridSpan w:val="4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外经股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6"/>
              <w:spacing w:before="34"/>
              <w:ind w:left="149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实施单位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衡东县商务局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spacing w:before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ind w:left="147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项目资金</w:t>
            </w:r>
          </w:p>
          <w:p>
            <w:pPr>
              <w:pStyle w:val="6"/>
              <w:spacing w:before="3"/>
              <w:ind w:left="147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（万元）</w:t>
            </w:r>
          </w:p>
        </w:tc>
        <w:tc>
          <w:tcPr>
            <w:tcW w:w="2114" w:type="dxa"/>
            <w:gridSpan w:val="2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年初预算数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全年预算数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6"/>
              <w:spacing w:line="268" w:lineRule="exact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全年执行数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spacing w:line="268" w:lineRule="exact"/>
              <w:ind w:left="107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noWrap w:val="0"/>
            <w:vAlign w:val="top"/>
          </w:tcPr>
          <w:p>
            <w:pPr>
              <w:pStyle w:val="6"/>
              <w:spacing w:before="33"/>
              <w:ind w:left="107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年度资金总额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noWrap w:val="0"/>
            <w:vAlign w:val="top"/>
          </w:tcPr>
          <w:p>
            <w:pPr>
              <w:pStyle w:val="6"/>
              <w:spacing w:before="33"/>
              <w:ind w:left="107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其中：当年财政拨款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60万元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noWrap w:val="0"/>
            <w:vAlign w:val="top"/>
          </w:tcPr>
          <w:p>
            <w:pPr>
              <w:pStyle w:val="6"/>
              <w:spacing w:before="33"/>
              <w:ind w:left="737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上年结转资金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2114" w:type="dxa"/>
            <w:gridSpan w:val="2"/>
            <w:noWrap w:val="0"/>
            <w:vAlign w:val="top"/>
          </w:tcPr>
          <w:p>
            <w:pPr>
              <w:pStyle w:val="6"/>
              <w:spacing w:before="34"/>
              <w:ind w:left="737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其他资金</w:t>
            </w:r>
          </w:p>
        </w:tc>
        <w:tc>
          <w:tcPr>
            <w:tcW w:w="1770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2009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pStyle w:val="6"/>
              <w:spacing w:before="3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spacing w:line="242" w:lineRule="auto"/>
              <w:ind w:left="251" w:right="241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年度总体目标</w:t>
            </w:r>
          </w:p>
        </w:tc>
        <w:tc>
          <w:tcPr>
            <w:tcW w:w="5594" w:type="dxa"/>
            <w:gridSpan w:val="4"/>
            <w:noWrap w:val="0"/>
            <w:vAlign w:val="top"/>
          </w:tcPr>
          <w:p>
            <w:pPr>
              <w:pStyle w:val="6"/>
              <w:spacing w:before="33"/>
              <w:ind w:left="1868" w:right="1853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预期目标</w:t>
            </w:r>
          </w:p>
        </w:tc>
        <w:tc>
          <w:tcPr>
            <w:tcW w:w="3269" w:type="dxa"/>
            <w:gridSpan w:val="2"/>
            <w:noWrap w:val="0"/>
            <w:vAlign w:val="top"/>
          </w:tcPr>
          <w:p>
            <w:pPr>
              <w:pStyle w:val="6"/>
              <w:spacing w:before="33"/>
              <w:ind w:right="1463"/>
              <w:jc w:val="left"/>
              <w:rPr>
                <w:rFonts w:hint="default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</w:tc>
        <w:tc>
          <w:tcPr>
            <w:tcW w:w="5594" w:type="dxa"/>
            <w:gridSpan w:val="4"/>
            <w:noWrap w:val="0"/>
            <w:vAlign w:val="center"/>
          </w:tcPr>
          <w:p>
            <w:pPr>
              <w:ind w:left="0" w:leftChars="0" w:right="0" w:rightChars="0"/>
              <w:jc w:val="both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推进县级社零统计限上企业发展、让衡东土菜“走出去”、电商企业扶持发展。</w:t>
            </w:r>
          </w:p>
        </w:tc>
        <w:tc>
          <w:tcPr>
            <w:tcW w:w="3269" w:type="dxa"/>
            <w:gridSpan w:val="2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通过项目的实施，较好地完成年度预算，为促进县域经济作出新的贡献。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spacing w:before="3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</w:p>
          <w:p>
            <w:pPr>
              <w:pStyle w:val="6"/>
              <w:spacing w:line="242" w:lineRule="auto"/>
              <w:ind w:left="461" w:right="451"/>
              <w:jc w:val="both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绩效指标</w:t>
            </w:r>
          </w:p>
        </w:tc>
        <w:tc>
          <w:tcPr>
            <w:tcW w:w="991" w:type="dxa"/>
            <w:noWrap w:val="0"/>
            <w:vAlign w:val="top"/>
          </w:tcPr>
          <w:p>
            <w:pPr>
              <w:pStyle w:val="6"/>
              <w:spacing w:before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line="213" w:lineRule="auto"/>
              <w:ind w:left="391" w:right="167" w:hanging="210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一级指标</w:t>
            </w:r>
          </w:p>
        </w:tc>
        <w:tc>
          <w:tcPr>
            <w:tcW w:w="1123" w:type="dxa"/>
            <w:noWrap w:val="0"/>
            <w:vAlign w:val="top"/>
          </w:tcPr>
          <w:p>
            <w:pPr>
              <w:pStyle w:val="6"/>
              <w:spacing w:before="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ind w:left="2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二级指标</w:t>
            </w:r>
          </w:p>
        </w:tc>
        <w:tc>
          <w:tcPr>
            <w:tcW w:w="1770" w:type="dxa"/>
            <w:noWrap w:val="0"/>
            <w:vAlign w:val="top"/>
          </w:tcPr>
          <w:p>
            <w:pPr>
              <w:pStyle w:val="6"/>
              <w:spacing w:before="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ind w:left="19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三级指标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pStyle w:val="6"/>
              <w:spacing w:before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line="213" w:lineRule="auto"/>
              <w:ind w:left="251" w:right="240" w:firstLine="104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年度指标值</w:t>
            </w:r>
          </w:p>
        </w:tc>
        <w:tc>
          <w:tcPr>
            <w:tcW w:w="3269" w:type="dxa"/>
            <w:gridSpan w:val="2"/>
            <w:noWrap w:val="0"/>
            <w:vAlign w:val="top"/>
          </w:tcPr>
          <w:p>
            <w:pPr>
              <w:pStyle w:val="6"/>
              <w:spacing w:before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before="79" w:line="213" w:lineRule="auto"/>
              <w:ind w:left="289" w:right="275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绩效标准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restart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before="7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before="1" w:line="242" w:lineRule="auto"/>
              <w:ind w:left="285" w:right="273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产出指标</w:t>
            </w:r>
          </w:p>
          <w:p>
            <w:pPr>
              <w:pStyle w:val="6"/>
              <w:spacing w:before="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before="1"/>
              <w:ind w:left="189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(50 分)</w:t>
            </w:r>
          </w:p>
        </w:tc>
        <w:tc>
          <w:tcPr>
            <w:tcW w:w="1123" w:type="dxa"/>
            <w:vMerge w:val="restart"/>
            <w:noWrap w:val="0"/>
            <w:vAlign w:val="top"/>
          </w:tcPr>
          <w:p>
            <w:pPr>
              <w:pStyle w:val="6"/>
              <w:spacing w:before="4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spacing w:before="1"/>
              <w:ind w:left="211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数量指标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社零统计入统企业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≥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4家（每家奖励2万元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pStyle w:val="6"/>
              <w:ind w:left="2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衡东土菜系列活动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4次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pStyle w:val="6"/>
              <w:ind w:left="2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全年电商扶持发展专项资金培训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4次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restart"/>
            <w:noWrap w:val="0"/>
            <w:vAlign w:val="top"/>
          </w:tcPr>
          <w:p>
            <w:pPr>
              <w:pStyle w:val="6"/>
              <w:spacing w:before="4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ind w:left="2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质量指标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社零统计年度培训合格率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3269" w:type="dxa"/>
            <w:gridSpan w:val="2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衡东土菜系列活动推广率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pStyle w:val="6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电商扶持发展专项资金覆盖率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noWrap w:val="0"/>
            <w:vAlign w:val="top"/>
          </w:tcPr>
          <w:p>
            <w:pPr>
              <w:pStyle w:val="6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时效指标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　完成时间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12月份之前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restart"/>
            <w:noWrap w:val="0"/>
            <w:vAlign w:val="top"/>
          </w:tcPr>
          <w:p>
            <w:pPr>
              <w:pStyle w:val="6"/>
              <w:spacing w:before="5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  <w:p>
            <w:pPr>
              <w:pStyle w:val="6"/>
              <w:ind w:left="211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成本指标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社零统计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40万元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衡东土菜系列活动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10万元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123" w:type="dxa"/>
            <w:vMerge w:val="continue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电商扶持发展专项资金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default" w:ascii="华文仿宋" w:hAnsi="华文仿宋" w:eastAsia="华文仿宋" w:cs="华文仿宋"/>
                <w:sz w:val="21"/>
                <w:szCs w:val="21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1"/>
                <w:szCs w:val="21"/>
                <w:lang w:val="en-US" w:eastAsia="zh-CN"/>
              </w:rPr>
              <w:t>10万元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pStyle w:val="6"/>
              <w:spacing w:before="1" w:line="242" w:lineRule="auto"/>
              <w:ind w:right="273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效益指标</w:t>
            </w:r>
          </w:p>
          <w:p>
            <w:pPr>
              <w:pStyle w:val="6"/>
              <w:spacing w:before="1"/>
              <w:ind w:right="-15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（30</w:t>
            </w:r>
            <w:r>
              <w:rPr>
                <w:rFonts w:hint="eastAsia" w:ascii="仿宋" w:hAnsi="仿宋" w:eastAsia="仿宋" w:cs="仿宋"/>
                <w:spacing w:val="-13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  <w:t>）</w:t>
            </w:r>
          </w:p>
        </w:tc>
        <w:tc>
          <w:tcPr>
            <w:tcW w:w="1123" w:type="dxa"/>
            <w:noWrap w:val="0"/>
            <w:vAlign w:val="top"/>
          </w:tcPr>
          <w:p>
            <w:pPr>
              <w:pStyle w:val="6"/>
              <w:spacing w:before="72" w:line="242" w:lineRule="auto"/>
              <w:ind w:left="316" w:right="303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社会效益指标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保障各项目年度内顺利完成。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按月按季完成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  <w:p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13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pStyle w:val="6"/>
              <w:spacing w:line="242" w:lineRule="auto"/>
              <w:ind w:left="285" w:right="167" w:hanging="105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满意度指标</w:t>
            </w:r>
          </w:p>
          <w:p>
            <w:pPr>
              <w:pStyle w:val="6"/>
              <w:spacing w:before="1" w:line="253" w:lineRule="exact"/>
              <w:ind w:left="107" w:leftChars="0" w:right="-15" w:rightChars="0"/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（10</w:t>
            </w:r>
            <w:r>
              <w:rPr>
                <w:rFonts w:hint="eastAsia" w:ascii="仿宋" w:hAnsi="仿宋" w:eastAsia="仿宋" w:cs="仿宋"/>
                <w:spacing w:val="-13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  <w:t>）</w:t>
            </w:r>
          </w:p>
        </w:tc>
        <w:tc>
          <w:tcPr>
            <w:tcW w:w="1123" w:type="dxa"/>
            <w:noWrap w:val="0"/>
            <w:vAlign w:val="top"/>
          </w:tcPr>
          <w:p>
            <w:pPr>
              <w:pStyle w:val="6"/>
              <w:spacing w:line="242" w:lineRule="auto"/>
              <w:ind w:left="211" w:right="198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服务对象满意度指</w:t>
            </w:r>
          </w:p>
          <w:p>
            <w:pPr>
              <w:pStyle w:val="6"/>
              <w:spacing w:before="1" w:line="253" w:lineRule="exact"/>
              <w:ind w:left="12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服务对象满意率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</w:tbl>
    <w:p>
      <w:pPr>
        <w:tabs>
          <w:tab w:val="left" w:pos="2786"/>
          <w:tab w:val="left" w:pos="5306"/>
          <w:tab w:val="left" w:pos="7346"/>
        </w:tabs>
        <w:spacing w:before="121"/>
        <w:ind w:right="0"/>
        <w:jc w:val="left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填表人：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孔新宇    </w:t>
      </w:r>
      <w:r>
        <w:rPr>
          <w:rFonts w:hint="eastAsia" w:ascii="仿宋" w:hAnsi="仿宋" w:eastAsia="仿宋" w:cs="仿宋"/>
          <w:sz w:val="21"/>
          <w:szCs w:val="21"/>
        </w:rPr>
        <w:t>填报日期：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2023.3.28   </w:t>
      </w:r>
      <w:r>
        <w:rPr>
          <w:rFonts w:hint="eastAsia" w:ascii="仿宋" w:hAnsi="仿宋" w:eastAsia="仿宋" w:cs="仿宋"/>
          <w:sz w:val="21"/>
          <w:szCs w:val="21"/>
        </w:rPr>
        <w:t>联系电话：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15173496878 </w:t>
      </w:r>
      <w:r>
        <w:rPr>
          <w:rFonts w:hint="eastAsia" w:ascii="仿宋" w:hAnsi="仿宋" w:eastAsia="仿宋" w:cs="仿宋"/>
          <w:sz w:val="21"/>
          <w:szCs w:val="21"/>
        </w:rPr>
        <w:t>单位负责人签字：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彭彦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597"/>
        <w:gridCol w:w="754"/>
        <w:gridCol w:w="571"/>
        <w:gridCol w:w="18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  <w:lang w:val="en-US" w:eastAsia="zh-CN"/>
              </w:rPr>
              <w:t>衡东县商务局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招商引资专项资金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衡东县商务局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2023.1-2023.12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全年招商引资项目达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18个，招商引资合同引资额达80亿元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推进全县项目特别是招商引资项目引进、投资落地、按月完成本年度目标管理考核任务的单位给予奖励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招商引资项目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18个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before="47"/>
              <w:ind w:left="107" w:leftChars="0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招商引资合同引资额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80亿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招商引资商务接待客人批次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80批次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招商引资商务接待客人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500人次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资金引进到位率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　完成时间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12月份之前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广州招商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深圳招商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引进资金规模　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10亿元　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文件标准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促进县域经济强势发展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较去年提高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服务对象满意率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both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0" w:leftChars="0" w:right="0" w:right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孔新宇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15173496878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单位负责人签字：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彭彦</w:t>
      </w:r>
    </w:p>
    <w:p>
      <w:pPr>
        <w:pStyle w:val="2"/>
      </w:pPr>
      <w:bookmarkStart w:id="0" w:name="_GoBack"/>
      <w:bookmarkEnd w:id="0"/>
    </w:p>
    <w:sectPr>
      <w:pgSz w:w="11906" w:h="16838"/>
      <w:pgMar w:top="1134" w:right="822" w:bottom="1134" w:left="822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22C239AA"/>
    <w:rsid w:val="0D7643FA"/>
    <w:rsid w:val="1AB1581F"/>
    <w:rsid w:val="22C239AA"/>
    <w:rsid w:val="57AC2726"/>
    <w:rsid w:val="57F77E11"/>
    <w:rsid w:val="5E84524D"/>
    <w:rsid w:val="7B034902"/>
    <w:rsid w:val="7BF4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47"/>
      <w:ind w:right="14"/>
      <w:jc w:val="center"/>
      <w:outlineLvl w:val="0"/>
    </w:pPr>
    <w:rPr>
      <w:rFonts w:ascii="宋体" w:hAnsi="宋体" w:eastAsia="宋体" w:cs="宋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969</Words>
  <Characters>1059</Characters>
  <Lines>0</Lines>
  <Paragraphs>0</Paragraphs>
  <TotalTime>0</TotalTime>
  <ScaleCrop>false</ScaleCrop>
  <LinksUpToDate>false</LinksUpToDate>
  <CharactersWithSpaces>1139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2023-03-31T01:43:00Z</dcterms:created>
  <dc:creator>lenovo</dc:creator>
  <cp:lastModifiedBy>开心果whb</cp:lastModifiedBy>
  <dcterms:modified xsi:type="dcterms:W3CDTF">2023-04-23T07:58:28Z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8C9CB1AEE4D848BF8C8417D80BF3CD1C</vt:lpwstr>
  </property>
</Properties>
</file>