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Cs w:val="21"/>
          <w:lang w:val="en-US" w:eastAsia="zh-CN"/>
        </w:rPr>
        <w:t xml:space="preserve">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218"/>
        <w:gridCol w:w="1800"/>
        <w:gridCol w:w="922"/>
        <w:gridCol w:w="1403"/>
        <w:gridCol w:w="2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rPr>
            </w:pPr>
            <w:r>
              <w:rPr>
                <w:rFonts w:hint="eastAsia" w:ascii="仿宋_GB2312" w:eastAsia="仿宋_GB2312"/>
                <w:b/>
                <w:bCs/>
                <w:kern w:val="0"/>
                <w:sz w:val="24"/>
                <w:szCs w:val="21"/>
                <w:lang w:eastAsia="zh-CN"/>
              </w:rPr>
              <w:t>衡东县交通建设质量安全监督站</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153.9万元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b/>
                <w:bCs/>
                <w:kern w:val="0"/>
                <w:sz w:val="21"/>
                <w:szCs w:val="21"/>
                <w:lang w:val="en-US" w:eastAsia="zh-CN"/>
              </w:rPr>
            </w:pPr>
            <w:r>
              <w:rPr>
                <w:rFonts w:hint="eastAsia" w:ascii="仿宋" w:hAnsi="仿宋" w:eastAsia="仿宋" w:cs="仿宋"/>
                <w:b/>
                <w:bCs/>
                <w:kern w:val="0"/>
                <w:sz w:val="21"/>
                <w:szCs w:val="21"/>
              </w:rPr>
              <w:t>按收入性质分：</w:t>
            </w:r>
            <w:r>
              <w:rPr>
                <w:rFonts w:hint="eastAsia" w:ascii="仿宋" w:hAnsi="仿宋" w:eastAsia="仿宋" w:cs="仿宋"/>
                <w:b/>
                <w:bCs/>
                <w:kern w:val="0"/>
                <w:sz w:val="21"/>
                <w:szCs w:val="21"/>
                <w:lang w:val="en-US" w:eastAsia="zh-CN"/>
              </w:rPr>
              <w:t>153.9万元</w:t>
            </w:r>
          </w:p>
        </w:tc>
        <w:tc>
          <w:tcPr>
            <w:tcW w:w="3741" w:type="dxa"/>
            <w:gridSpan w:val="2"/>
            <w:vAlign w:val="center"/>
          </w:tcPr>
          <w:p>
            <w:pPr>
              <w:widowControl/>
              <w:jc w:val="left"/>
              <w:rPr>
                <w:rFonts w:hint="default" w:ascii="仿宋" w:hAnsi="仿宋" w:eastAsia="仿宋" w:cs="仿宋"/>
                <w:b/>
                <w:bCs/>
                <w:kern w:val="0"/>
                <w:sz w:val="21"/>
                <w:szCs w:val="21"/>
                <w:lang w:val="en-US" w:eastAsia="zh-CN"/>
              </w:rPr>
            </w:pPr>
            <w:r>
              <w:rPr>
                <w:rFonts w:hint="eastAsia" w:ascii="仿宋" w:hAnsi="仿宋" w:eastAsia="仿宋" w:cs="仿宋"/>
                <w:b/>
                <w:bCs/>
                <w:kern w:val="0"/>
                <w:sz w:val="21"/>
                <w:szCs w:val="21"/>
              </w:rPr>
              <w:t>按支出性质分：</w:t>
            </w:r>
            <w:r>
              <w:rPr>
                <w:rFonts w:hint="eastAsia" w:ascii="仿宋" w:hAnsi="仿宋" w:eastAsia="仿宋" w:cs="仿宋"/>
                <w:b/>
                <w:bCs/>
                <w:kern w:val="0"/>
                <w:sz w:val="21"/>
                <w:szCs w:val="21"/>
                <w:lang w:val="en-US" w:eastAsia="zh-CN"/>
              </w:rPr>
              <w:t>153.9万元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其中： 一般公共预算：</w:t>
            </w:r>
            <w:r>
              <w:rPr>
                <w:rFonts w:hint="eastAsia" w:ascii="宋体" w:hAnsi="宋体" w:eastAsia="宋体" w:cs="宋体"/>
                <w:kern w:val="0"/>
                <w:sz w:val="21"/>
                <w:szCs w:val="21"/>
                <w:lang w:val="en-US" w:eastAsia="zh-CN"/>
              </w:rPr>
              <w:t>153.9万元</w:t>
            </w:r>
          </w:p>
        </w:tc>
        <w:tc>
          <w:tcPr>
            <w:tcW w:w="3741" w:type="dxa"/>
            <w:gridSpan w:val="2"/>
            <w:vAlign w:val="center"/>
          </w:tcPr>
          <w:p>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其中： 基本支出：</w:t>
            </w:r>
            <w:r>
              <w:rPr>
                <w:rFonts w:hint="eastAsia" w:ascii="宋体" w:hAnsi="宋体" w:eastAsia="宋体" w:cs="宋体"/>
                <w:kern w:val="0"/>
                <w:sz w:val="21"/>
                <w:szCs w:val="21"/>
                <w:lang w:val="en-US" w:eastAsia="zh-CN"/>
              </w:rPr>
              <w:t>135.9万元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xml:space="preserve">       政府性基金拨款：</w:t>
            </w:r>
          </w:p>
        </w:tc>
        <w:tc>
          <w:tcPr>
            <w:tcW w:w="3741" w:type="dxa"/>
            <w:gridSpan w:val="2"/>
            <w:vAlign w:val="center"/>
          </w:tcPr>
          <w:p>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xml:space="preserve">       项目支出：</w:t>
            </w:r>
            <w:r>
              <w:rPr>
                <w:rFonts w:hint="eastAsia" w:ascii="宋体" w:hAnsi="宋体" w:eastAsia="宋体" w:cs="宋体"/>
                <w:kern w:val="0"/>
                <w:sz w:val="21"/>
                <w:szCs w:val="21"/>
                <w:lang w:val="en-US" w:eastAsia="zh-CN"/>
              </w:rPr>
              <w:t>18万元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纳入专户管理的非税收入拨款：</w:t>
            </w:r>
          </w:p>
        </w:tc>
        <w:tc>
          <w:tcPr>
            <w:tcW w:w="3741" w:type="dxa"/>
            <w:gridSpan w:val="2"/>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xml:space="preserve">       其他资金：</w:t>
            </w:r>
          </w:p>
        </w:tc>
        <w:tc>
          <w:tcPr>
            <w:tcW w:w="3741" w:type="dxa"/>
            <w:gridSpan w:val="2"/>
            <w:vAlign w:val="center"/>
          </w:tcPr>
          <w:p>
            <w:pPr>
              <w:widowControl/>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rPr>
                <w:rFonts w:hint="eastAsia" w:ascii="宋体" w:hAnsi="宋体" w:eastAsia="宋体" w:cs="宋体"/>
                <w:sz w:val="18"/>
                <w:szCs w:val="18"/>
                <w:lang w:eastAsia="zh-CN"/>
              </w:rPr>
            </w:pPr>
            <w:r>
              <w:rPr>
                <w:rFonts w:hint="eastAsia" w:ascii="宋体" w:hAnsi="宋体" w:eastAsia="宋体" w:cs="宋体"/>
                <w:sz w:val="18"/>
                <w:szCs w:val="18"/>
                <w:lang w:val="en-US" w:eastAsia="zh-CN"/>
              </w:rPr>
              <w:t>1</w:t>
            </w:r>
            <w:r>
              <w:rPr>
                <w:rFonts w:hint="eastAsia" w:ascii="宋体" w:hAnsi="宋体" w:eastAsia="宋体" w:cs="宋体"/>
                <w:sz w:val="18"/>
                <w:szCs w:val="18"/>
              </w:rPr>
              <w:t>、贯彻执行有关交通建设工程质量，安全监督和造价审核监督的方针政策和法律法规。</w:t>
            </w:r>
          </w:p>
          <w:p>
            <w:pPr>
              <w:rPr>
                <w:rFonts w:hint="eastAsia" w:ascii="宋体" w:hAnsi="宋体" w:eastAsia="宋体" w:cs="宋体"/>
                <w:sz w:val="18"/>
                <w:szCs w:val="18"/>
              </w:rPr>
            </w:pPr>
            <w:r>
              <w:rPr>
                <w:rFonts w:hint="eastAsia" w:ascii="宋体" w:hAnsi="宋体" w:eastAsia="宋体" w:cs="宋体"/>
                <w:sz w:val="18"/>
                <w:szCs w:val="18"/>
                <w:lang w:val="en-US" w:eastAsia="zh-CN"/>
              </w:rPr>
              <w:t>2</w:t>
            </w:r>
            <w:r>
              <w:rPr>
                <w:rFonts w:hint="eastAsia" w:ascii="宋体" w:hAnsi="宋体" w:eastAsia="宋体" w:cs="宋体"/>
                <w:sz w:val="18"/>
                <w:szCs w:val="18"/>
              </w:rPr>
              <w:t>、负责全县交通建设（除</w:t>
            </w:r>
            <w:r>
              <w:rPr>
                <w:rFonts w:hint="eastAsia" w:ascii="宋体" w:hAnsi="宋体" w:eastAsia="宋体" w:cs="宋体"/>
                <w:sz w:val="18"/>
                <w:szCs w:val="18"/>
                <w:lang w:eastAsia="zh-CN"/>
              </w:rPr>
              <w:t>国省</w:t>
            </w:r>
            <w:r>
              <w:rPr>
                <w:rFonts w:hint="eastAsia" w:ascii="宋体" w:hAnsi="宋体" w:eastAsia="宋体" w:cs="宋体"/>
                <w:sz w:val="18"/>
                <w:szCs w:val="18"/>
              </w:rPr>
              <w:t>干线公路、大桥）工程的质量安全监督工作。</w:t>
            </w:r>
          </w:p>
          <w:p>
            <w:pPr>
              <w:rPr>
                <w:rFonts w:hint="eastAsia" w:ascii="宋体" w:hAnsi="宋体" w:eastAsia="宋体" w:cs="宋体"/>
                <w:sz w:val="18"/>
                <w:szCs w:val="18"/>
              </w:rPr>
            </w:pPr>
            <w:r>
              <w:rPr>
                <w:rFonts w:hint="eastAsia" w:ascii="宋体" w:hAnsi="宋体" w:eastAsia="宋体" w:cs="宋体"/>
                <w:sz w:val="18"/>
                <w:szCs w:val="18"/>
                <w:lang w:val="en-US" w:eastAsia="zh-CN"/>
              </w:rPr>
              <w:t>3</w:t>
            </w:r>
            <w:r>
              <w:rPr>
                <w:rFonts w:hint="eastAsia" w:ascii="宋体" w:hAnsi="宋体" w:eastAsia="宋体" w:cs="宋体"/>
                <w:sz w:val="18"/>
                <w:szCs w:val="18"/>
              </w:rPr>
              <w:t>、负责全县交通工程的造价审核和材料价格信息采集上报工作。</w:t>
            </w:r>
          </w:p>
          <w:p>
            <w:pPr>
              <w:rPr>
                <w:rFonts w:hint="eastAsia" w:ascii="宋体" w:hAnsi="宋体" w:eastAsia="宋体" w:cs="宋体"/>
                <w:sz w:val="18"/>
                <w:szCs w:val="18"/>
              </w:rPr>
            </w:pPr>
            <w:r>
              <w:rPr>
                <w:rFonts w:hint="eastAsia" w:ascii="宋体" w:hAnsi="宋体" w:eastAsia="宋体" w:cs="宋体"/>
                <w:sz w:val="18"/>
                <w:szCs w:val="18"/>
                <w:lang w:val="en-US" w:eastAsia="zh-CN"/>
              </w:rPr>
              <w:t>4</w:t>
            </w:r>
            <w:r>
              <w:rPr>
                <w:rFonts w:hint="eastAsia" w:ascii="宋体" w:hAnsi="宋体" w:eastAsia="宋体" w:cs="宋体"/>
                <w:sz w:val="18"/>
                <w:szCs w:val="18"/>
              </w:rPr>
              <w:t>、参与全县交通建设工程从业机构及其从业人员信用评价上报等建设市场管理和监督工作。</w:t>
            </w:r>
          </w:p>
          <w:p>
            <w:pPr>
              <w:rPr>
                <w:rFonts w:hint="eastAsia" w:ascii="宋体" w:hAnsi="宋体" w:eastAsia="宋体" w:cs="宋体"/>
                <w:sz w:val="18"/>
                <w:szCs w:val="18"/>
              </w:rPr>
            </w:pPr>
            <w:r>
              <w:rPr>
                <w:rFonts w:hint="eastAsia" w:ascii="宋体" w:hAnsi="宋体" w:eastAsia="宋体" w:cs="宋体"/>
                <w:sz w:val="18"/>
                <w:szCs w:val="18"/>
                <w:lang w:val="en-US" w:eastAsia="zh-CN"/>
              </w:rPr>
              <w:t>5</w:t>
            </w:r>
            <w:r>
              <w:rPr>
                <w:rFonts w:hint="eastAsia" w:ascii="宋体" w:hAnsi="宋体" w:eastAsia="宋体" w:cs="宋体"/>
                <w:sz w:val="18"/>
                <w:szCs w:val="18"/>
              </w:rPr>
              <w:t>、参与全县交通建设工程交（竣）工验收</w:t>
            </w:r>
            <w:r>
              <w:rPr>
                <w:rFonts w:hint="eastAsia" w:ascii="宋体" w:hAnsi="宋体" w:eastAsia="宋体" w:cs="宋体"/>
                <w:sz w:val="18"/>
                <w:szCs w:val="18"/>
                <w:lang w:eastAsia="zh-CN"/>
              </w:rPr>
              <w:t>及质量鉴定工作</w:t>
            </w:r>
            <w:r>
              <w:rPr>
                <w:rFonts w:hint="eastAsia" w:ascii="宋体" w:hAnsi="宋体" w:eastAsia="宋体" w:cs="宋体"/>
                <w:sz w:val="18"/>
                <w:szCs w:val="18"/>
              </w:rPr>
              <w:t>。</w:t>
            </w:r>
          </w:p>
          <w:p>
            <w:pPr>
              <w:rPr>
                <w:rFonts w:hint="eastAsia" w:ascii="宋体" w:hAnsi="宋体" w:eastAsia="宋体" w:cs="宋体"/>
                <w:sz w:val="18"/>
                <w:szCs w:val="18"/>
              </w:rPr>
            </w:pPr>
            <w:r>
              <w:rPr>
                <w:rFonts w:hint="eastAsia" w:ascii="宋体" w:hAnsi="宋体" w:eastAsia="宋体" w:cs="宋体"/>
                <w:sz w:val="18"/>
                <w:szCs w:val="18"/>
                <w:lang w:val="en-US" w:eastAsia="zh-CN"/>
              </w:rPr>
              <w:t>6</w:t>
            </w:r>
            <w:r>
              <w:rPr>
                <w:rFonts w:hint="eastAsia" w:ascii="宋体" w:hAnsi="宋体" w:eastAsia="宋体" w:cs="宋体"/>
                <w:sz w:val="18"/>
                <w:szCs w:val="18"/>
              </w:rPr>
              <w:t>、参与全县交通建设工程质量，安全生产事故的调查处理，仲裁交通建设工程质量争议。</w:t>
            </w:r>
          </w:p>
          <w:p>
            <w:pPr>
              <w:rPr>
                <w:rFonts w:hint="eastAsia" w:ascii="仿宋" w:hAnsi="仿宋" w:eastAsia="仿宋" w:cs="仿宋"/>
                <w:kern w:val="0"/>
                <w:sz w:val="21"/>
                <w:szCs w:val="21"/>
              </w:rPr>
            </w:pPr>
            <w:r>
              <w:rPr>
                <w:rFonts w:hint="eastAsia" w:ascii="宋体" w:hAnsi="宋体" w:eastAsia="宋体" w:cs="宋体"/>
                <w:sz w:val="18"/>
                <w:szCs w:val="18"/>
                <w:lang w:val="en-US" w:eastAsia="zh-CN"/>
              </w:rPr>
              <w:t>7</w:t>
            </w:r>
            <w:r>
              <w:rPr>
                <w:rFonts w:hint="eastAsia" w:ascii="宋体" w:hAnsi="宋体" w:eastAsia="宋体" w:cs="宋体"/>
                <w:sz w:val="18"/>
                <w:szCs w:val="18"/>
              </w:rPr>
              <w:t>、承办县交通运输局交办的其他事项。</w:t>
            </w: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jc w:val="left"/>
              <w:rPr>
                <w:rFonts w:hint="eastAsia" w:ascii="仿宋" w:hAnsi="仿宋" w:eastAsia="仿宋" w:cs="仿宋"/>
                <w:kern w:val="0"/>
                <w:sz w:val="21"/>
                <w:szCs w:val="21"/>
              </w:rPr>
            </w:pPr>
            <w:r>
              <w:rPr>
                <w:rFonts w:hint="eastAsia" w:ascii="宋体" w:hAnsi="宋体" w:eastAsia="宋体" w:cs="宋体"/>
                <w:kern w:val="0"/>
                <w:sz w:val="18"/>
                <w:szCs w:val="18"/>
              </w:rPr>
              <w:t>目标1：</w:t>
            </w:r>
            <w:r>
              <w:rPr>
                <w:rFonts w:hint="eastAsia" w:ascii="宋体" w:hAnsi="宋体" w:eastAsia="宋体" w:cs="宋体"/>
                <w:kern w:val="0"/>
                <w:sz w:val="18"/>
                <w:szCs w:val="18"/>
                <w:lang w:eastAsia="zh-CN"/>
              </w:rPr>
              <w:t>通过预算执行，保证正常工作运转。</w:t>
            </w:r>
          </w:p>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218"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800"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2325"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338"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800" w:type="dxa"/>
            <w:vMerge w:val="restart"/>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数量指标</w:t>
            </w:r>
          </w:p>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eastAsia="zh-CN"/>
              </w:rPr>
            </w:pPr>
            <w:r>
              <w:rPr>
                <w:rFonts w:hint="eastAsia" w:ascii="宋体" w:hAnsi="宋体" w:eastAsia="宋体" w:cs="宋体"/>
                <w:snapToGrid w:val="0"/>
                <w:color w:val="000000"/>
                <w:kern w:val="0"/>
                <w:sz w:val="18"/>
                <w:szCs w:val="18"/>
                <w:lang w:eastAsia="zh-CN"/>
              </w:rPr>
              <w:t>本单位财政供养人员</w:t>
            </w:r>
          </w:p>
        </w:tc>
        <w:tc>
          <w:tcPr>
            <w:tcW w:w="2338" w:type="dxa"/>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snapToGrid w:val="0"/>
                <w:color w:val="000000"/>
                <w:kern w:val="0"/>
                <w:sz w:val="18"/>
                <w:szCs w:val="18"/>
                <w:lang w:eastAsia="zh-CN"/>
              </w:rPr>
              <w:t>在职</w:t>
            </w:r>
            <w:r>
              <w:rPr>
                <w:rFonts w:hint="eastAsia" w:ascii="宋体" w:hAnsi="宋体" w:eastAsia="宋体" w:cs="宋体"/>
                <w:snapToGrid w:val="0"/>
                <w:color w:val="000000"/>
                <w:kern w:val="0"/>
                <w:sz w:val="18"/>
                <w:szCs w:val="18"/>
                <w:lang w:val="en-US" w:eastAsia="zh-CN"/>
              </w:rPr>
              <w:t>13人，退休9人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continue"/>
            <w:vAlign w:val="center"/>
          </w:tcPr>
          <w:p>
            <w:pPr>
              <w:widowControl/>
              <w:jc w:val="center"/>
              <w:rPr>
                <w:rFonts w:hint="eastAsia" w:ascii="仿宋" w:hAnsi="仿宋" w:eastAsia="仿宋" w:cs="仿宋"/>
                <w:b/>
                <w:bCs/>
                <w:kern w:val="0"/>
                <w:sz w:val="21"/>
                <w:szCs w:val="21"/>
              </w:rPr>
            </w:pPr>
          </w:p>
        </w:tc>
        <w:tc>
          <w:tcPr>
            <w:tcW w:w="1800" w:type="dxa"/>
            <w:vMerge w:val="continue"/>
            <w:vAlign w:val="center"/>
          </w:tcPr>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部门单位履职、运转</w:t>
            </w:r>
          </w:p>
        </w:tc>
        <w:tc>
          <w:tcPr>
            <w:tcW w:w="2338" w:type="dxa"/>
            <w:vAlign w:val="center"/>
          </w:tcPr>
          <w:p>
            <w:pPr>
              <w:jc w:val="left"/>
              <w:rPr>
                <w:rFonts w:hint="eastAsia" w:ascii="宋体" w:hAnsi="宋体" w:eastAsia="宋体" w:cs="宋体"/>
                <w:snapToGrid w:val="0"/>
                <w:color w:val="000000"/>
                <w:kern w:val="0"/>
                <w:sz w:val="18"/>
                <w:szCs w:val="18"/>
                <w:lang w:eastAsia="zh-CN"/>
              </w:rPr>
            </w:pPr>
            <w:r>
              <w:rPr>
                <w:rFonts w:hint="eastAsia" w:ascii="宋体" w:hAnsi="宋体" w:eastAsia="宋体" w:cs="宋体"/>
                <w:snapToGrid w:val="0"/>
                <w:color w:val="000000"/>
                <w:kern w:val="0"/>
                <w:sz w:val="18"/>
                <w:szCs w:val="18"/>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continue"/>
            <w:vAlign w:val="center"/>
          </w:tcPr>
          <w:p>
            <w:pPr>
              <w:widowControl/>
              <w:jc w:val="center"/>
              <w:rPr>
                <w:rFonts w:hint="eastAsia" w:ascii="仿宋" w:hAnsi="仿宋" w:eastAsia="仿宋" w:cs="仿宋"/>
                <w:b/>
                <w:bCs/>
                <w:kern w:val="0"/>
                <w:sz w:val="21"/>
                <w:szCs w:val="21"/>
              </w:rPr>
            </w:pPr>
          </w:p>
        </w:tc>
        <w:tc>
          <w:tcPr>
            <w:tcW w:w="1800" w:type="dxa"/>
            <w:vMerge w:val="restart"/>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质量指标</w:t>
            </w:r>
          </w:p>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snapToGrid w:val="0"/>
                <w:color w:val="000000"/>
                <w:kern w:val="0"/>
                <w:sz w:val="18"/>
                <w:szCs w:val="18"/>
                <w:lang w:val="en-US" w:eastAsia="zh-CN"/>
              </w:rPr>
              <w:t>人员经费控制率</w:t>
            </w:r>
          </w:p>
        </w:tc>
        <w:tc>
          <w:tcPr>
            <w:tcW w:w="2338" w:type="dxa"/>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continue"/>
            <w:vAlign w:val="center"/>
          </w:tcPr>
          <w:p>
            <w:pPr>
              <w:widowControl/>
              <w:jc w:val="center"/>
              <w:rPr>
                <w:rFonts w:hint="eastAsia" w:ascii="仿宋" w:hAnsi="仿宋" w:eastAsia="仿宋" w:cs="仿宋"/>
                <w:b/>
                <w:bCs/>
                <w:kern w:val="0"/>
                <w:sz w:val="21"/>
                <w:szCs w:val="21"/>
              </w:rPr>
            </w:pPr>
          </w:p>
        </w:tc>
        <w:tc>
          <w:tcPr>
            <w:tcW w:w="1800" w:type="dxa"/>
            <w:vMerge w:val="continue"/>
            <w:vAlign w:val="center"/>
          </w:tcPr>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公用经费控制率</w:t>
            </w:r>
          </w:p>
        </w:tc>
        <w:tc>
          <w:tcPr>
            <w:tcW w:w="2338" w:type="dxa"/>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continue"/>
            <w:vAlign w:val="center"/>
          </w:tcPr>
          <w:p>
            <w:pPr>
              <w:widowControl/>
              <w:jc w:val="center"/>
              <w:rPr>
                <w:rFonts w:hint="eastAsia" w:ascii="仿宋" w:hAnsi="仿宋" w:eastAsia="仿宋" w:cs="仿宋"/>
                <w:b/>
                <w:bCs/>
                <w:kern w:val="0"/>
                <w:sz w:val="21"/>
                <w:szCs w:val="21"/>
              </w:rPr>
            </w:pPr>
          </w:p>
        </w:tc>
        <w:tc>
          <w:tcPr>
            <w:tcW w:w="1800" w:type="dxa"/>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成本指标</w:t>
            </w:r>
          </w:p>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snapToGrid w:val="0"/>
                <w:color w:val="000000"/>
                <w:kern w:val="0"/>
                <w:sz w:val="18"/>
                <w:szCs w:val="18"/>
                <w:lang w:val="en-US" w:eastAsia="zh-CN"/>
              </w:rPr>
              <w:t>严格按照预算执行本单位的人员支出和公用支出</w:t>
            </w:r>
          </w:p>
        </w:tc>
        <w:tc>
          <w:tcPr>
            <w:tcW w:w="2338" w:type="dxa"/>
            <w:vAlign w:val="center"/>
          </w:tcPr>
          <w:p>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人员经费支出126.65万元，</w:t>
            </w:r>
          </w:p>
          <w:p>
            <w:pPr>
              <w:pStyle w:val="2"/>
              <w:ind w:left="0" w:leftChars="0" w:firstLine="0" w:firstLineChars="0"/>
              <w:rPr>
                <w:rFonts w:hint="eastAsia" w:ascii="宋体" w:hAnsi="宋体" w:eastAsia="宋体" w:cs="宋体"/>
                <w:sz w:val="18"/>
                <w:szCs w:val="18"/>
                <w:lang w:val="en-US" w:eastAsia="zh-CN"/>
              </w:rPr>
            </w:pPr>
            <w:r>
              <w:rPr>
                <w:rFonts w:hint="eastAsia" w:ascii="宋体" w:hAnsi="宋体" w:eastAsia="宋体" w:cs="宋体"/>
                <w:snapToGrid w:val="0"/>
                <w:color w:val="000000"/>
                <w:kern w:val="0"/>
                <w:sz w:val="18"/>
                <w:szCs w:val="18"/>
                <w:lang w:val="en-US" w:eastAsia="zh-CN"/>
              </w:rPr>
              <w:t>公用经费支出9.25万元</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218" w:type="dxa"/>
            <w:vMerge w:val="continue"/>
            <w:vAlign w:val="center"/>
          </w:tcPr>
          <w:p>
            <w:pPr>
              <w:widowControl/>
              <w:jc w:val="center"/>
              <w:rPr>
                <w:rFonts w:hint="eastAsia" w:ascii="仿宋" w:hAnsi="仿宋" w:eastAsia="仿宋" w:cs="仿宋"/>
                <w:b/>
                <w:bCs/>
                <w:kern w:val="0"/>
                <w:sz w:val="21"/>
                <w:szCs w:val="21"/>
              </w:rPr>
            </w:pPr>
          </w:p>
        </w:tc>
        <w:tc>
          <w:tcPr>
            <w:tcW w:w="1800" w:type="dxa"/>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时效指标</w:t>
            </w:r>
          </w:p>
          <w:p>
            <w:pPr>
              <w:jc w:val="center"/>
              <w:rPr>
                <w:rFonts w:hint="eastAsia" w:ascii="宋体" w:hAnsi="宋体" w:eastAsia="宋体" w:cs="宋体"/>
                <w:kern w:val="0"/>
                <w:sz w:val="18"/>
                <w:szCs w:val="18"/>
              </w:rPr>
            </w:pP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履行单位职责及完成上级交办的各项任务</w:t>
            </w:r>
          </w:p>
        </w:tc>
        <w:tc>
          <w:tcPr>
            <w:tcW w:w="2338" w:type="dxa"/>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snapToGrid w:val="0"/>
                <w:color w:val="000000"/>
                <w:kern w:val="0"/>
                <w:sz w:val="18"/>
                <w:szCs w:val="18"/>
                <w:lang w:val="en-US" w:eastAsia="zh-CN"/>
              </w:rPr>
              <w:t>在年度内及时完成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218"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800" w:type="dxa"/>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可持续影响指标</w:t>
            </w:r>
          </w:p>
        </w:tc>
        <w:tc>
          <w:tcPr>
            <w:tcW w:w="2325" w:type="dxa"/>
            <w:gridSpan w:val="2"/>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snapToGrid w:val="0"/>
                <w:color w:val="000000"/>
                <w:kern w:val="0"/>
                <w:sz w:val="18"/>
                <w:szCs w:val="18"/>
                <w:lang w:eastAsia="zh-CN"/>
              </w:rPr>
              <w:t>积极完成上级交办的各项任务</w:t>
            </w:r>
          </w:p>
        </w:tc>
        <w:tc>
          <w:tcPr>
            <w:tcW w:w="2338" w:type="dxa"/>
            <w:vAlign w:val="center"/>
          </w:tcPr>
          <w:p>
            <w:pPr>
              <w:jc w:val="left"/>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shd w:val="clear" w:color="auto" w:fill="auto"/>
              </w:rPr>
              <w:t>≥</w:t>
            </w:r>
            <w:r>
              <w:rPr>
                <w:rFonts w:hint="eastAsia" w:ascii="宋体" w:hAnsi="宋体" w:eastAsia="宋体" w:cs="宋体"/>
                <w:color w:val="000000"/>
                <w:kern w:val="0"/>
                <w:sz w:val="18"/>
                <w:szCs w:val="18"/>
                <w:shd w:val="clear" w:color="auto" w:fill="auto"/>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218"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800" w:type="dxa"/>
            <w:vAlign w:val="center"/>
          </w:tcPr>
          <w:p>
            <w:pPr>
              <w:jc w:val="center"/>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rPr>
              <w:t>社会公众或服务对象满意度</w:t>
            </w:r>
          </w:p>
        </w:tc>
        <w:tc>
          <w:tcPr>
            <w:tcW w:w="2325" w:type="dxa"/>
            <w:gridSpan w:val="2"/>
            <w:vAlign w:val="center"/>
          </w:tcPr>
          <w:p>
            <w:pPr>
              <w:jc w:val="left"/>
              <w:rPr>
                <w:rFonts w:hint="eastAsia" w:ascii="宋体" w:hAnsi="宋体" w:eastAsia="宋体" w:cs="宋体"/>
                <w:snapToGrid w:val="0"/>
                <w:color w:val="000000"/>
                <w:kern w:val="0"/>
                <w:sz w:val="18"/>
                <w:szCs w:val="18"/>
                <w:lang w:eastAsia="zh-CN"/>
              </w:rPr>
            </w:pPr>
            <w:r>
              <w:rPr>
                <w:rFonts w:hint="eastAsia" w:ascii="宋体" w:hAnsi="宋体" w:eastAsia="宋体" w:cs="宋体"/>
                <w:snapToGrid w:val="0"/>
                <w:color w:val="000000"/>
                <w:kern w:val="0"/>
                <w:sz w:val="18"/>
                <w:szCs w:val="18"/>
                <w:lang w:eastAsia="zh-CN"/>
              </w:rPr>
              <w:t>让服务对象满意</w:t>
            </w:r>
          </w:p>
        </w:tc>
        <w:tc>
          <w:tcPr>
            <w:tcW w:w="2338" w:type="dxa"/>
            <w:vAlign w:val="center"/>
          </w:tcPr>
          <w:p>
            <w:pPr>
              <w:jc w:val="left"/>
              <w:rPr>
                <w:rFonts w:hint="eastAsia" w:ascii="宋体" w:hAnsi="宋体" w:eastAsia="宋体" w:cs="宋体"/>
                <w:snapToGrid w:val="0"/>
                <w:color w:val="000000"/>
                <w:kern w:val="0"/>
                <w:sz w:val="18"/>
                <w:szCs w:val="18"/>
              </w:rPr>
            </w:pPr>
            <w:r>
              <w:rPr>
                <w:rFonts w:hint="eastAsia" w:ascii="宋体" w:hAnsi="宋体" w:eastAsia="宋体" w:cs="宋体"/>
                <w:kern w:val="0"/>
                <w:sz w:val="18"/>
                <w:szCs w:val="18"/>
                <w:shd w:val="clear" w:color="auto" w:fill="auto"/>
              </w:rPr>
              <w:t>≥</w:t>
            </w:r>
            <w:r>
              <w:rPr>
                <w:rFonts w:hint="eastAsia" w:ascii="宋体" w:hAnsi="宋体" w:eastAsia="宋体" w:cs="宋体"/>
                <w:color w:val="000000"/>
                <w:kern w:val="0"/>
                <w:sz w:val="18"/>
                <w:szCs w:val="18"/>
                <w:shd w:val="clear" w:color="auto" w:fill="auto"/>
                <w:lang w:val="en-US" w:eastAsia="zh-CN"/>
              </w:rPr>
              <w:t>99%</w:t>
            </w:r>
          </w:p>
        </w:tc>
      </w:tr>
    </w:tbl>
    <w:p>
      <w:pPr>
        <w:widowControl/>
        <w:tabs>
          <w:tab w:val="left" w:pos="1333"/>
          <w:tab w:val="left" w:pos="3793"/>
          <w:tab w:val="left" w:pos="5853"/>
        </w:tabs>
        <w:jc w:val="left"/>
        <w:rPr>
          <w:rFonts w:hint="eastAsia" w:ascii="仿宋" w:hAnsi="仿宋" w:eastAsia="仿宋" w:cs="仿宋"/>
          <w:b/>
          <w:bCs/>
          <w:kern w:val="0"/>
          <w:sz w:val="21"/>
          <w:szCs w:val="21"/>
        </w:rPr>
      </w:pPr>
    </w:p>
    <w:p>
      <w:pPr>
        <w:widowControl/>
        <w:tabs>
          <w:tab w:val="left" w:pos="1333"/>
          <w:tab w:val="left" w:pos="3793"/>
          <w:tab w:val="left" w:pos="5853"/>
        </w:tabs>
        <w:jc w:val="left"/>
        <w:rPr>
          <w:rFonts w:hint="eastAsia" w:ascii="仿宋" w:hAnsi="仿宋" w:eastAsia="仿宋" w:cs="仿宋"/>
          <w:b/>
          <w:bCs/>
          <w:kern w:val="0"/>
          <w:sz w:val="21"/>
          <w:szCs w:val="21"/>
        </w:rPr>
      </w:pPr>
      <w:r>
        <w:rPr>
          <w:rFonts w:hint="eastAsia" w:ascii="仿宋_GB2312" w:eastAsia="仿宋_GB2312"/>
          <w:b/>
          <w:bCs/>
          <w:kern w:val="0"/>
          <w:sz w:val="24"/>
          <w:szCs w:val="21"/>
        </w:rPr>
        <w:t>填报单位：</w:t>
      </w:r>
      <w:r>
        <w:rPr>
          <w:rFonts w:hint="eastAsia" w:ascii="仿宋_GB2312" w:eastAsia="仿宋_GB2312"/>
          <w:b/>
          <w:bCs/>
          <w:kern w:val="0"/>
          <w:sz w:val="24"/>
          <w:szCs w:val="21"/>
          <w:lang w:eastAsia="zh-CN"/>
        </w:rPr>
        <w:t>衡东县交通建设质量安全监督站</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p>
      <w:pPr>
        <w:widowControl/>
        <w:tabs>
          <w:tab w:val="left" w:pos="1333"/>
          <w:tab w:val="left" w:pos="3793"/>
          <w:tab w:val="left" w:pos="5853"/>
        </w:tabs>
        <w:jc w:val="left"/>
        <w:rPr>
          <w:rFonts w:hint="eastAsia" w:ascii="仿宋" w:hAnsi="仿宋" w:eastAsia="仿宋" w:cs="仿宋"/>
          <w:b/>
          <w:bCs/>
          <w:kern w:val="0"/>
          <w:sz w:val="21"/>
          <w:szCs w:val="21"/>
        </w:rPr>
      </w:pPr>
    </w:p>
    <w:p>
      <w:pPr>
        <w:widowControl/>
        <w:tabs>
          <w:tab w:val="left" w:pos="1333"/>
          <w:tab w:val="left" w:pos="3793"/>
          <w:tab w:val="left" w:pos="5853"/>
        </w:tabs>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填表人：</w:t>
      </w:r>
      <w:r>
        <w:rPr>
          <w:rFonts w:hint="eastAsia" w:ascii="仿宋" w:hAnsi="仿宋" w:eastAsia="仿宋" w:cs="仿宋"/>
          <w:b/>
          <w:bCs/>
          <w:kern w:val="0"/>
          <w:sz w:val="21"/>
          <w:szCs w:val="21"/>
          <w:lang w:eastAsia="zh-CN"/>
        </w:rPr>
        <w:t>张志平</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 </w:t>
      </w:r>
      <w:r>
        <w:rPr>
          <w:rFonts w:hint="eastAsia" w:ascii="仿宋" w:hAnsi="仿宋" w:eastAsia="仿宋" w:cs="仿宋"/>
          <w:b/>
          <w:bCs/>
          <w:kern w:val="0"/>
          <w:sz w:val="21"/>
          <w:szCs w:val="21"/>
          <w:lang w:val="en-US" w:eastAsia="zh-CN"/>
        </w:rPr>
        <w:t>13575123109</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MGJhZDc3MjFhMGIwOWYxYzhmOTQ1YTAyN2NjOWYifQ=="/>
  </w:docVars>
  <w:rsids>
    <w:rsidRoot w:val="77F37B20"/>
    <w:rsid w:val="01E65570"/>
    <w:rsid w:val="02F05A75"/>
    <w:rsid w:val="0B6D6460"/>
    <w:rsid w:val="136E496A"/>
    <w:rsid w:val="22647913"/>
    <w:rsid w:val="24AD7556"/>
    <w:rsid w:val="2BED5333"/>
    <w:rsid w:val="2C7D1F40"/>
    <w:rsid w:val="2CD637F5"/>
    <w:rsid w:val="2F956D34"/>
    <w:rsid w:val="3173238F"/>
    <w:rsid w:val="3391388D"/>
    <w:rsid w:val="3C0E6083"/>
    <w:rsid w:val="425E48CA"/>
    <w:rsid w:val="48E54635"/>
    <w:rsid w:val="4D047AEC"/>
    <w:rsid w:val="52052A88"/>
    <w:rsid w:val="5218331F"/>
    <w:rsid w:val="577D5F46"/>
    <w:rsid w:val="57993556"/>
    <w:rsid w:val="65472E61"/>
    <w:rsid w:val="70243F00"/>
    <w:rsid w:val="76C20083"/>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657</Words>
  <Characters>710</Characters>
  <Lines>0</Lines>
  <Paragraphs>0</Paragraphs>
  <TotalTime>17</TotalTime>
  <ScaleCrop>false</ScaleCrop>
  <LinksUpToDate>false</LinksUpToDate>
  <CharactersWithSpaces>815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dcterms:modified xsi:type="dcterms:W3CDTF">2023-03-27T07:59:54Z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1EA9865F789F43E7BF67FF94283B0D9A</vt:lpwstr>
  </property>
</Properties>
</file>