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Arial" w:hAnsi="Arial" w:eastAsia="黑体" w:cs="Arial"/>
          <w:sz w:val="36"/>
          <w:szCs w:val="36"/>
        </w:rPr>
      </w:pPr>
    </w:p>
    <w:p>
      <w:pPr>
        <w:jc w:val="center"/>
        <w:rPr>
          <w:rFonts w:ascii="黑体" w:hAnsi="黑体" w:eastAsia="黑体"/>
          <w:b/>
          <w:sz w:val="44"/>
          <w:szCs w:val="44"/>
        </w:rPr>
      </w:pPr>
      <w:r>
        <w:rPr>
          <w:rFonts w:hint="eastAsia" w:ascii="Arial" w:hAnsi="Arial" w:eastAsia="黑体" w:cs="Arial"/>
          <w:b/>
          <w:sz w:val="44"/>
          <w:szCs w:val="44"/>
        </w:rPr>
        <w:t>2023</w:t>
      </w:r>
      <w:r>
        <w:rPr>
          <w:rFonts w:hint="eastAsia" w:ascii="黑体" w:hAnsi="黑体" w:eastAsia="黑体" w:cs="黑体"/>
          <w:b/>
          <w:sz w:val="44"/>
          <w:szCs w:val="44"/>
        </w:rPr>
        <w:t>年度项目</w:t>
      </w:r>
      <w:r>
        <w:rPr>
          <w:rFonts w:hint="eastAsia" w:ascii="黑体" w:hAnsi="黑体" w:eastAsia="黑体"/>
          <w:b/>
          <w:sz w:val="44"/>
          <w:szCs w:val="44"/>
        </w:rPr>
        <w:t>支出预算绩效目标申报表</w:t>
      </w:r>
    </w:p>
    <w:p>
      <w:pPr>
        <w:jc w:val="center"/>
        <w:rPr>
          <w:rFonts w:ascii="黑体" w:hAnsi="黑体" w:eastAsia="黑体"/>
          <w:sz w:val="36"/>
          <w:szCs w:val="36"/>
        </w:rPr>
      </w:pPr>
    </w:p>
    <w:p>
      <w:pPr>
        <w:jc w:val="left"/>
        <w:rPr>
          <w:rFonts w:ascii="仿宋" w:hAnsi="仿宋" w:eastAsia="仿宋" w:cs="仿宋"/>
          <w:b/>
          <w:sz w:val="28"/>
          <w:szCs w:val="28"/>
        </w:rPr>
      </w:pPr>
      <w:r>
        <w:rPr>
          <w:rFonts w:hint="eastAsia" w:ascii="仿宋" w:hAnsi="仿宋" w:eastAsia="仿宋" w:cs="仿宋"/>
          <w:b/>
          <w:sz w:val="28"/>
          <w:szCs w:val="28"/>
        </w:rPr>
        <w:t>填报单位：（盖章） 衡东县信访局                  单位：万元</w:t>
      </w:r>
    </w:p>
    <w:tbl>
      <w:tblPr>
        <w:tblStyle w:val="3"/>
        <w:tblW w:w="9519" w:type="dxa"/>
        <w:tblInd w:w="-318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8"/>
        <w:gridCol w:w="989"/>
        <w:gridCol w:w="1365"/>
        <w:gridCol w:w="423"/>
        <w:gridCol w:w="1412"/>
        <w:gridCol w:w="2194"/>
        <w:gridCol w:w="1518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2" w:hRule="atLeast"/>
        </w:trPr>
        <w:tc>
          <w:tcPr>
            <w:tcW w:w="161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项目支出名称</w:t>
            </w:r>
          </w:p>
        </w:tc>
        <w:tc>
          <w:tcPr>
            <w:tcW w:w="2777" w:type="dxa"/>
            <w:gridSpan w:val="3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numPr>
                <w:ilvl w:val="0"/>
                <w:numId w:val="1"/>
              </w:numPr>
              <w:ind w:firstLineChars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积案专班工作经费</w:t>
            </w:r>
          </w:p>
          <w:p>
            <w:pPr>
              <w:pStyle w:val="5"/>
              <w:numPr>
                <w:ilvl w:val="0"/>
                <w:numId w:val="1"/>
              </w:numPr>
              <w:ind w:firstLineChars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信访联席会议工作经费</w:t>
            </w:r>
          </w:p>
        </w:tc>
        <w:tc>
          <w:tcPr>
            <w:tcW w:w="1412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预算部门</w:t>
            </w:r>
          </w:p>
        </w:tc>
        <w:tc>
          <w:tcPr>
            <w:tcW w:w="3712" w:type="dxa"/>
            <w:gridSpan w:val="2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衡东县信访局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</w:trPr>
        <w:tc>
          <w:tcPr>
            <w:tcW w:w="161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年度本级</w:t>
            </w:r>
          </w:p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预算金额</w:t>
            </w:r>
          </w:p>
        </w:tc>
        <w:tc>
          <w:tcPr>
            <w:tcW w:w="2777" w:type="dxa"/>
            <w:gridSpan w:val="3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20万元和10万元</w:t>
            </w:r>
          </w:p>
        </w:tc>
        <w:tc>
          <w:tcPr>
            <w:tcW w:w="141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该项目支出上级资金</w:t>
            </w:r>
          </w:p>
        </w:tc>
        <w:tc>
          <w:tcPr>
            <w:tcW w:w="3712" w:type="dxa"/>
            <w:gridSpan w:val="2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left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618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项目支出实施期</w:t>
            </w:r>
          </w:p>
        </w:tc>
        <w:tc>
          <w:tcPr>
            <w:tcW w:w="7901" w:type="dxa"/>
            <w:gridSpan w:val="6"/>
            <w:tcBorders>
              <w:bottom w:val="single" w:color="auto" w:sz="4" w:space="0"/>
            </w:tcBorders>
            <w:vAlign w:val="center"/>
          </w:tcPr>
          <w:p>
            <w:pPr>
              <w:tabs>
                <w:tab w:val="left" w:pos="825"/>
              </w:tabs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2023年度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61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实施期绩效目标</w:t>
            </w:r>
          </w:p>
        </w:tc>
        <w:tc>
          <w:tcPr>
            <w:tcW w:w="7901" w:type="dxa"/>
            <w:gridSpan w:val="6"/>
            <w:tcBorders>
              <w:top w:val="single" w:color="auto" w:sz="4" w:space="0"/>
            </w:tcBorders>
            <w:vAlign w:val="center"/>
          </w:tcPr>
          <w:p>
            <w:pPr>
              <w:ind w:firstLine="420" w:firstLineChars="150"/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及时化解信访积案和召开信访联席会议研判信访案件，规范办理程序，较好地维护了信访群众的合法权益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7" w:hRule="atLeast"/>
        </w:trPr>
        <w:tc>
          <w:tcPr>
            <w:tcW w:w="1618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本年度绩效目标</w:t>
            </w:r>
          </w:p>
        </w:tc>
        <w:tc>
          <w:tcPr>
            <w:tcW w:w="7901" w:type="dxa"/>
            <w:gridSpan w:val="6"/>
            <w:vAlign w:val="center"/>
          </w:tcPr>
          <w:p>
            <w:pPr>
              <w:ind w:firstLine="840" w:firstLineChars="300"/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积案化解10个、召开信访联席会议12次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1618" w:type="dxa"/>
            <w:vMerge w:val="restart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本年度绩效指标</w:t>
            </w:r>
          </w:p>
        </w:tc>
        <w:tc>
          <w:tcPr>
            <w:tcW w:w="989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一级指标</w:t>
            </w: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二级指标</w:t>
            </w:r>
          </w:p>
        </w:tc>
        <w:tc>
          <w:tcPr>
            <w:tcW w:w="1835" w:type="dxa"/>
            <w:gridSpan w:val="2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三级指标</w:t>
            </w:r>
          </w:p>
        </w:tc>
        <w:tc>
          <w:tcPr>
            <w:tcW w:w="2194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指标值及单位</w:t>
            </w:r>
          </w:p>
        </w:tc>
        <w:tc>
          <w:tcPr>
            <w:tcW w:w="1518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绩效标准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89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产出指标</w:t>
            </w:r>
          </w:p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数量指标</w:t>
            </w:r>
          </w:p>
        </w:tc>
        <w:tc>
          <w:tcPr>
            <w:tcW w:w="1835" w:type="dxa"/>
            <w:gridSpan w:val="2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化解信访积案个数</w:t>
            </w:r>
          </w:p>
        </w:tc>
        <w:tc>
          <w:tcPr>
            <w:tcW w:w="2194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10个</w:t>
            </w:r>
          </w:p>
        </w:tc>
        <w:tc>
          <w:tcPr>
            <w:tcW w:w="1518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历史标准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35" w:type="dxa"/>
            <w:gridSpan w:val="2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召开信访联席会议次数</w:t>
            </w:r>
          </w:p>
        </w:tc>
        <w:tc>
          <w:tcPr>
            <w:tcW w:w="2194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12次</w:t>
            </w:r>
          </w:p>
        </w:tc>
        <w:tc>
          <w:tcPr>
            <w:tcW w:w="1518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  <w:sz w:val="28"/>
                <w:szCs w:val="28"/>
              </w:rPr>
              <w:t>历史标准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质量指标</w:t>
            </w:r>
          </w:p>
        </w:tc>
        <w:tc>
          <w:tcPr>
            <w:tcW w:w="1835" w:type="dxa"/>
            <w:gridSpan w:val="2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化解信访积案</w:t>
            </w:r>
          </w:p>
        </w:tc>
        <w:tc>
          <w:tcPr>
            <w:tcW w:w="2194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100</w:t>
            </w:r>
            <w:r>
              <w:rPr>
                <w:sz w:val="28"/>
                <w:szCs w:val="28"/>
              </w:rPr>
              <w:t>%</w:t>
            </w: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 w:cs="宋体"/>
                <w:kern w:val="0"/>
                <w:sz w:val="28"/>
                <w:szCs w:val="28"/>
              </w:rPr>
              <w:t>政策标准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35" w:type="dxa"/>
            <w:gridSpan w:val="2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召开信访联席会议</w:t>
            </w:r>
          </w:p>
        </w:tc>
        <w:tc>
          <w:tcPr>
            <w:tcW w:w="2194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1次/月</w:t>
            </w: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cs="宋体"/>
                <w:kern w:val="0"/>
                <w:sz w:val="28"/>
                <w:szCs w:val="28"/>
              </w:rPr>
            </w:pPr>
            <w:r>
              <w:rPr>
                <w:rFonts w:hint="eastAsia" w:cs="宋体"/>
                <w:kern w:val="0"/>
                <w:sz w:val="28"/>
                <w:szCs w:val="28"/>
              </w:rPr>
              <w:t>政策标准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时效指标</w:t>
            </w:r>
          </w:p>
        </w:tc>
        <w:tc>
          <w:tcPr>
            <w:tcW w:w="1835" w:type="dxa"/>
            <w:gridSpan w:val="2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信访积案专班</w:t>
            </w:r>
          </w:p>
        </w:tc>
        <w:tc>
          <w:tcPr>
            <w:tcW w:w="2194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全年</w:t>
            </w:r>
          </w:p>
        </w:tc>
        <w:tc>
          <w:tcPr>
            <w:tcW w:w="1518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35" w:type="dxa"/>
            <w:gridSpan w:val="2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信访联席会议工作</w:t>
            </w:r>
          </w:p>
        </w:tc>
        <w:tc>
          <w:tcPr>
            <w:tcW w:w="2194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全年</w:t>
            </w:r>
          </w:p>
        </w:tc>
        <w:tc>
          <w:tcPr>
            <w:tcW w:w="1518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89" w:type="dxa"/>
            <w:vMerge w:val="continue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成本指标</w:t>
            </w:r>
          </w:p>
        </w:tc>
        <w:tc>
          <w:tcPr>
            <w:tcW w:w="1835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信访积案专班经费</w:t>
            </w:r>
          </w:p>
        </w:tc>
        <w:tc>
          <w:tcPr>
            <w:tcW w:w="2194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Arial" w:hAnsi="Arial" w:cs="Arial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≦20.00万元</w:t>
            </w:r>
          </w:p>
        </w:tc>
        <w:tc>
          <w:tcPr>
            <w:tcW w:w="1518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89" w:type="dxa"/>
            <w:vMerge w:val="continue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35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信访联席会议工作经费</w:t>
            </w:r>
          </w:p>
        </w:tc>
        <w:tc>
          <w:tcPr>
            <w:tcW w:w="2194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Arial" w:hAnsi="Arial" w:cs="Arial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≦10.00万元</w:t>
            </w:r>
          </w:p>
        </w:tc>
        <w:tc>
          <w:tcPr>
            <w:tcW w:w="1518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89" w:type="dxa"/>
            <w:vMerge w:val="restart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效益指标</w:t>
            </w: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社会效益指标</w:t>
            </w:r>
          </w:p>
        </w:tc>
        <w:tc>
          <w:tcPr>
            <w:tcW w:w="1835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积案办结率</w:t>
            </w:r>
          </w:p>
        </w:tc>
        <w:tc>
          <w:tcPr>
            <w:tcW w:w="2194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Arial" w:hAnsi="Arial" w:cs="Arial"/>
                <w:kern w:val="0"/>
                <w:sz w:val="28"/>
                <w:szCs w:val="28"/>
              </w:rPr>
            </w:pPr>
            <w:r>
              <w:rPr>
                <w:rFonts w:hint="eastAsia" w:cs="Arial" w:asciiTheme="majorEastAsia" w:hAnsiTheme="majorEastAsia" w:eastAsiaTheme="majorEastAsia"/>
                <w:kern w:val="0"/>
                <w:sz w:val="28"/>
                <w:szCs w:val="28"/>
              </w:rPr>
              <w:t>≧</w:t>
            </w:r>
            <w:r>
              <w:rPr>
                <w:rFonts w:hint="eastAsia" w:cs="宋体" w:asciiTheme="majorEastAsia" w:hAnsiTheme="majorEastAsia" w:eastAsiaTheme="majorEastAsia"/>
                <w:kern w:val="0"/>
                <w:sz w:val="28"/>
                <w:szCs w:val="28"/>
              </w:rPr>
              <w:t>96%</w:t>
            </w:r>
          </w:p>
        </w:tc>
        <w:tc>
          <w:tcPr>
            <w:tcW w:w="1518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社会公众或服务对象满意度</w:t>
            </w:r>
          </w:p>
        </w:tc>
        <w:tc>
          <w:tcPr>
            <w:tcW w:w="1835" w:type="dxa"/>
            <w:gridSpan w:val="2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上访人员满意率</w:t>
            </w:r>
          </w:p>
        </w:tc>
        <w:tc>
          <w:tcPr>
            <w:tcW w:w="2194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 w:cs="Arial" w:asciiTheme="majorEastAsia" w:hAnsiTheme="majorEastAsia" w:eastAsiaTheme="majorEastAsia"/>
                <w:kern w:val="0"/>
                <w:sz w:val="28"/>
                <w:szCs w:val="28"/>
              </w:rPr>
              <w:t>≧</w:t>
            </w:r>
            <w:r>
              <w:rPr>
                <w:rFonts w:hint="eastAsia" w:cs="宋体" w:asciiTheme="majorEastAsia" w:hAnsiTheme="majorEastAsia" w:eastAsiaTheme="majorEastAsia"/>
                <w:kern w:val="0"/>
                <w:sz w:val="28"/>
                <w:szCs w:val="28"/>
              </w:rPr>
              <w:t>95%</w:t>
            </w:r>
          </w:p>
        </w:tc>
        <w:tc>
          <w:tcPr>
            <w:tcW w:w="1518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</w:tbl>
    <w:p>
      <w:pPr>
        <w:tabs>
          <w:tab w:val="left" w:pos="6396"/>
        </w:tabs>
        <w:rPr>
          <w:rFonts w:asciiTheme="majorEastAsia" w:hAnsiTheme="majorEastAsia" w:eastAsiaTheme="majorEastAsia" w:cstheme="majorEastAsia"/>
          <w:sz w:val="24"/>
          <w:szCs w:val="24"/>
        </w:rPr>
      </w:pPr>
    </w:p>
    <w:p>
      <w:pPr>
        <w:tabs>
          <w:tab w:val="left" w:pos="6396"/>
        </w:tabs>
        <w:rPr>
          <w:rFonts w:asciiTheme="majorEastAsia" w:hAnsiTheme="majorEastAsia" w:eastAsiaTheme="majorEastAsia" w:cstheme="majorEastAsia"/>
          <w:sz w:val="24"/>
          <w:szCs w:val="24"/>
        </w:rPr>
      </w:pPr>
    </w:p>
    <w:p>
      <w:pPr>
        <w:tabs>
          <w:tab w:val="left" w:pos="6396"/>
        </w:tabs>
        <w:rPr>
          <w:rFonts w:asciiTheme="majorEastAsia" w:hAnsiTheme="majorEastAsia" w:eastAsiaTheme="majorEastAsia" w:cstheme="majorEastAsia"/>
          <w:sz w:val="24"/>
          <w:szCs w:val="24"/>
        </w:rPr>
      </w:pPr>
    </w:p>
    <w:p>
      <w:pPr>
        <w:tabs>
          <w:tab w:val="left" w:pos="6396"/>
        </w:tabs>
        <w:rPr>
          <w:rFonts w:asciiTheme="majorEastAsia" w:hAnsiTheme="majorEastAsia" w:eastAsiaTheme="majorEastAsia" w:cstheme="majorEastAsia"/>
          <w:sz w:val="24"/>
          <w:szCs w:val="24"/>
        </w:rPr>
      </w:pPr>
    </w:p>
    <w:p>
      <w:pPr>
        <w:tabs>
          <w:tab w:val="left" w:pos="6396"/>
        </w:tabs>
        <w:rPr>
          <w:rFonts w:asciiTheme="majorEastAsia" w:hAnsiTheme="majorEastAsia" w:eastAsiaTheme="majorEastAsia" w:cstheme="majorEastAsia"/>
          <w:sz w:val="24"/>
          <w:szCs w:val="24"/>
        </w:rPr>
      </w:pPr>
    </w:p>
    <w:p>
      <w:pPr>
        <w:tabs>
          <w:tab w:val="left" w:pos="6396"/>
        </w:tabs>
        <w:rPr>
          <w:rFonts w:asciiTheme="majorEastAsia" w:hAnsiTheme="majorEastAsia" w:eastAsiaTheme="majorEastAsia" w:cstheme="majorEastAsia"/>
          <w:sz w:val="24"/>
          <w:szCs w:val="24"/>
        </w:rPr>
      </w:pPr>
    </w:p>
    <w:p>
      <w:pPr>
        <w:tabs>
          <w:tab w:val="left" w:pos="6396"/>
        </w:tabs>
        <w:rPr>
          <w:rFonts w:asciiTheme="majorEastAsia" w:hAnsiTheme="majorEastAsia" w:eastAsiaTheme="majorEastAsia" w:cstheme="majorEastAsia"/>
          <w:sz w:val="24"/>
          <w:szCs w:val="24"/>
        </w:rPr>
      </w:pPr>
    </w:p>
    <w:p>
      <w:pPr>
        <w:tabs>
          <w:tab w:val="left" w:pos="6396"/>
        </w:tabs>
        <w:rPr>
          <w:rFonts w:asciiTheme="majorEastAsia" w:hAnsiTheme="majorEastAsia" w:eastAsiaTheme="majorEastAsia" w:cstheme="majorEastAsia"/>
          <w:sz w:val="24"/>
          <w:szCs w:val="24"/>
        </w:rPr>
      </w:pPr>
    </w:p>
    <w:p>
      <w:pPr>
        <w:tabs>
          <w:tab w:val="left" w:pos="6396"/>
        </w:tabs>
        <w:rPr>
          <w:rFonts w:asciiTheme="majorEastAsia" w:hAnsiTheme="majorEastAsia" w:eastAsiaTheme="majorEastAsia" w:cstheme="majorEastAsia"/>
          <w:sz w:val="24"/>
          <w:szCs w:val="24"/>
        </w:rPr>
      </w:pPr>
    </w:p>
    <w:p>
      <w:pPr>
        <w:tabs>
          <w:tab w:val="left" w:pos="6396"/>
        </w:tabs>
        <w:rPr>
          <w:rFonts w:asciiTheme="majorEastAsia" w:hAnsiTheme="majorEastAsia" w:eastAsiaTheme="majorEastAsia" w:cstheme="majorEastAsia"/>
          <w:sz w:val="24"/>
          <w:szCs w:val="24"/>
        </w:rPr>
      </w:pPr>
    </w:p>
    <w:p>
      <w:pPr>
        <w:tabs>
          <w:tab w:val="left" w:pos="6396"/>
        </w:tabs>
        <w:rPr>
          <w:rFonts w:asciiTheme="majorEastAsia" w:hAnsiTheme="majorEastAsia" w:eastAsiaTheme="majorEastAsia" w:cstheme="majorEastAsia"/>
          <w:sz w:val="24"/>
          <w:szCs w:val="24"/>
        </w:rPr>
      </w:pPr>
    </w:p>
    <w:p>
      <w:pPr>
        <w:tabs>
          <w:tab w:val="left" w:pos="6396"/>
        </w:tabs>
        <w:rPr>
          <w:rFonts w:asciiTheme="majorEastAsia" w:hAnsiTheme="majorEastAsia" w:eastAsiaTheme="majorEastAsia" w:cstheme="majorEastAsia"/>
          <w:sz w:val="24"/>
          <w:szCs w:val="24"/>
        </w:rPr>
      </w:pPr>
    </w:p>
    <w:p>
      <w:pPr>
        <w:jc w:val="center"/>
        <w:rPr>
          <w:rFonts w:ascii="黑体" w:hAnsi="黑体" w:eastAsia="黑体"/>
          <w:b/>
          <w:sz w:val="44"/>
          <w:szCs w:val="44"/>
        </w:rPr>
      </w:pPr>
      <w:r>
        <w:rPr>
          <w:rFonts w:hint="eastAsia" w:ascii="Arial" w:hAnsi="Arial" w:eastAsia="黑体" w:cs="Arial"/>
          <w:b/>
          <w:sz w:val="44"/>
          <w:szCs w:val="44"/>
        </w:rPr>
        <w:t>2023</w:t>
      </w:r>
      <w:r>
        <w:rPr>
          <w:rFonts w:hint="eastAsia" w:ascii="黑体" w:hAnsi="黑体" w:eastAsia="黑体" w:cs="黑体"/>
          <w:b/>
          <w:sz w:val="44"/>
          <w:szCs w:val="44"/>
        </w:rPr>
        <w:t>年度项目</w:t>
      </w:r>
      <w:r>
        <w:rPr>
          <w:rFonts w:hint="eastAsia" w:ascii="黑体" w:hAnsi="黑体" w:eastAsia="黑体"/>
          <w:b/>
          <w:sz w:val="44"/>
          <w:szCs w:val="44"/>
        </w:rPr>
        <w:t>支出预算绩效目标申报表</w:t>
      </w:r>
    </w:p>
    <w:p>
      <w:pPr>
        <w:jc w:val="center"/>
        <w:rPr>
          <w:rFonts w:ascii="黑体" w:hAnsi="黑体" w:eastAsia="黑体"/>
          <w:sz w:val="36"/>
          <w:szCs w:val="36"/>
        </w:rPr>
      </w:pPr>
    </w:p>
    <w:p>
      <w:pPr>
        <w:jc w:val="left"/>
        <w:rPr>
          <w:rFonts w:ascii="仿宋" w:hAnsi="仿宋" w:eastAsia="仿宋" w:cs="仿宋"/>
          <w:b/>
          <w:sz w:val="28"/>
          <w:szCs w:val="28"/>
        </w:rPr>
      </w:pPr>
      <w:r>
        <w:rPr>
          <w:rFonts w:hint="eastAsia" w:ascii="仿宋" w:hAnsi="仿宋" w:eastAsia="仿宋" w:cs="仿宋"/>
          <w:b/>
          <w:sz w:val="28"/>
          <w:szCs w:val="28"/>
        </w:rPr>
        <w:t>填报单位：（盖章） 衡东县信访局                  单位：万元</w:t>
      </w:r>
    </w:p>
    <w:tbl>
      <w:tblPr>
        <w:tblStyle w:val="3"/>
        <w:tblW w:w="9519" w:type="dxa"/>
        <w:tblInd w:w="-318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8"/>
        <w:gridCol w:w="989"/>
        <w:gridCol w:w="1365"/>
        <w:gridCol w:w="185"/>
        <w:gridCol w:w="15"/>
        <w:gridCol w:w="1635"/>
        <w:gridCol w:w="2194"/>
        <w:gridCol w:w="1518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2" w:hRule="atLeast"/>
        </w:trPr>
        <w:tc>
          <w:tcPr>
            <w:tcW w:w="161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项目支出名称</w:t>
            </w:r>
          </w:p>
        </w:tc>
        <w:tc>
          <w:tcPr>
            <w:tcW w:w="2554" w:type="dxa"/>
            <w:gridSpan w:val="4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信访工作经费</w:t>
            </w:r>
          </w:p>
        </w:tc>
        <w:tc>
          <w:tcPr>
            <w:tcW w:w="1635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预算部门</w:t>
            </w:r>
          </w:p>
        </w:tc>
        <w:tc>
          <w:tcPr>
            <w:tcW w:w="3712" w:type="dxa"/>
            <w:gridSpan w:val="2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衡东县信访局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</w:trPr>
        <w:tc>
          <w:tcPr>
            <w:tcW w:w="161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年度本级</w:t>
            </w:r>
          </w:p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预算金额</w:t>
            </w:r>
          </w:p>
        </w:tc>
        <w:tc>
          <w:tcPr>
            <w:tcW w:w="2539" w:type="dxa"/>
            <w:gridSpan w:val="3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137.00</w:t>
            </w:r>
          </w:p>
        </w:tc>
        <w:tc>
          <w:tcPr>
            <w:tcW w:w="1650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该项目支出上级资金</w:t>
            </w:r>
          </w:p>
        </w:tc>
        <w:tc>
          <w:tcPr>
            <w:tcW w:w="3712" w:type="dxa"/>
            <w:gridSpan w:val="2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left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618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项目支出实施期</w:t>
            </w:r>
          </w:p>
        </w:tc>
        <w:tc>
          <w:tcPr>
            <w:tcW w:w="7901" w:type="dxa"/>
            <w:gridSpan w:val="7"/>
            <w:tcBorders>
              <w:bottom w:val="single" w:color="auto" w:sz="4" w:space="0"/>
            </w:tcBorders>
            <w:vAlign w:val="center"/>
          </w:tcPr>
          <w:p>
            <w:pPr>
              <w:tabs>
                <w:tab w:val="left" w:pos="825"/>
              </w:tabs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2023年度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3" w:hRule="atLeast"/>
        </w:trPr>
        <w:tc>
          <w:tcPr>
            <w:tcW w:w="161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实施期绩效目标</w:t>
            </w:r>
          </w:p>
        </w:tc>
        <w:tc>
          <w:tcPr>
            <w:tcW w:w="7901" w:type="dxa"/>
            <w:gridSpan w:val="7"/>
            <w:tcBorders>
              <w:top w:val="single" w:color="auto" w:sz="4" w:space="0"/>
            </w:tcBorders>
            <w:vAlign w:val="center"/>
          </w:tcPr>
          <w:p>
            <w:pPr>
              <w:ind w:firstLine="420" w:firstLineChars="150"/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及时接访劝返，规范办理程序，较好地维护了信访群众的合法权益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7" w:hRule="atLeast"/>
        </w:trPr>
        <w:tc>
          <w:tcPr>
            <w:tcW w:w="1618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本年度绩效目标</w:t>
            </w:r>
          </w:p>
        </w:tc>
        <w:tc>
          <w:tcPr>
            <w:tcW w:w="7901" w:type="dxa"/>
            <w:gridSpan w:val="7"/>
            <w:vAlign w:val="center"/>
          </w:tcPr>
          <w:p>
            <w:pPr>
              <w:ind w:firstLine="840" w:firstLineChars="300"/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预计登记、办理、办结</w:t>
            </w:r>
            <w:r>
              <w:rPr>
                <w:sz w:val="28"/>
                <w:szCs w:val="28"/>
              </w:rPr>
              <w:t>信访数量</w:t>
            </w:r>
            <w:r>
              <w:rPr>
                <w:rFonts w:hint="eastAsia"/>
                <w:sz w:val="28"/>
                <w:szCs w:val="28"/>
              </w:rPr>
              <w:t>1030个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1618" w:type="dxa"/>
            <w:vMerge w:val="restart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本年度绩效指标</w:t>
            </w:r>
          </w:p>
        </w:tc>
        <w:tc>
          <w:tcPr>
            <w:tcW w:w="989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一级指标</w:t>
            </w: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二级指标</w:t>
            </w:r>
          </w:p>
        </w:tc>
        <w:tc>
          <w:tcPr>
            <w:tcW w:w="1835" w:type="dxa"/>
            <w:gridSpan w:val="3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三级指标</w:t>
            </w:r>
          </w:p>
        </w:tc>
        <w:tc>
          <w:tcPr>
            <w:tcW w:w="2194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指标值及单位</w:t>
            </w:r>
          </w:p>
        </w:tc>
        <w:tc>
          <w:tcPr>
            <w:tcW w:w="1518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绩效标准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89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产出指标</w:t>
            </w:r>
          </w:p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数量指标</w:t>
            </w:r>
          </w:p>
        </w:tc>
        <w:tc>
          <w:tcPr>
            <w:tcW w:w="1835" w:type="dxa"/>
            <w:gridSpan w:val="3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办理信访件</w:t>
            </w:r>
          </w:p>
        </w:tc>
        <w:tc>
          <w:tcPr>
            <w:tcW w:w="2194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1030个</w:t>
            </w:r>
          </w:p>
        </w:tc>
        <w:tc>
          <w:tcPr>
            <w:tcW w:w="1518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历史标准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质量指标</w:t>
            </w:r>
          </w:p>
        </w:tc>
        <w:tc>
          <w:tcPr>
            <w:tcW w:w="1835" w:type="dxa"/>
            <w:gridSpan w:val="3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办</w:t>
            </w:r>
            <w:r>
              <w:rPr>
                <w:rFonts w:hint="eastAsia"/>
                <w:sz w:val="28"/>
                <w:szCs w:val="28"/>
              </w:rPr>
              <w:t>结</w:t>
            </w:r>
            <w:r>
              <w:rPr>
                <w:sz w:val="28"/>
                <w:szCs w:val="28"/>
              </w:rPr>
              <w:t>信访件</w:t>
            </w:r>
          </w:p>
        </w:tc>
        <w:tc>
          <w:tcPr>
            <w:tcW w:w="2194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100</w:t>
            </w:r>
            <w:r>
              <w:rPr>
                <w:sz w:val="28"/>
                <w:szCs w:val="28"/>
              </w:rPr>
              <w:t>%</w:t>
            </w: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 w:cs="宋体"/>
                <w:kern w:val="0"/>
                <w:sz w:val="28"/>
                <w:szCs w:val="28"/>
              </w:rPr>
              <w:t>政策标准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时效指标</w:t>
            </w:r>
          </w:p>
        </w:tc>
        <w:tc>
          <w:tcPr>
            <w:tcW w:w="1835" w:type="dxa"/>
            <w:gridSpan w:val="3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信访工作</w:t>
            </w:r>
            <w:r>
              <w:rPr>
                <w:rFonts w:hint="eastAsia"/>
                <w:sz w:val="28"/>
                <w:szCs w:val="28"/>
              </w:rPr>
              <w:t>办结时间</w:t>
            </w:r>
          </w:p>
        </w:tc>
        <w:tc>
          <w:tcPr>
            <w:tcW w:w="2194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≦</w:t>
            </w:r>
            <w:r>
              <w:rPr>
                <w:rFonts w:hint="eastAsia"/>
                <w:sz w:val="28"/>
                <w:szCs w:val="28"/>
              </w:rPr>
              <w:t>60日</w:t>
            </w:r>
          </w:p>
        </w:tc>
        <w:tc>
          <w:tcPr>
            <w:tcW w:w="1518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89" w:type="dxa"/>
            <w:vMerge w:val="continue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365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成本指标</w:t>
            </w:r>
          </w:p>
        </w:tc>
        <w:tc>
          <w:tcPr>
            <w:tcW w:w="1835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信访工作经费</w:t>
            </w:r>
          </w:p>
        </w:tc>
        <w:tc>
          <w:tcPr>
            <w:tcW w:w="2194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Arial" w:hAnsi="Arial" w:cs="Arial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≦</w:t>
            </w:r>
            <w:r>
              <w:rPr>
                <w:rFonts w:hint="eastAsia" w:asciiTheme="minorEastAsia" w:hAnsiTheme="minorEastAsia"/>
                <w:sz w:val="28"/>
                <w:szCs w:val="28"/>
              </w:rPr>
              <w:t>137.00万元</w:t>
            </w:r>
          </w:p>
        </w:tc>
        <w:tc>
          <w:tcPr>
            <w:tcW w:w="1518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89" w:type="dxa"/>
            <w:vMerge w:val="restart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效益指标</w:t>
            </w: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社会效益指标</w:t>
            </w:r>
          </w:p>
        </w:tc>
        <w:tc>
          <w:tcPr>
            <w:tcW w:w="1835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信访案件办理、办结率</w:t>
            </w:r>
          </w:p>
        </w:tc>
        <w:tc>
          <w:tcPr>
            <w:tcW w:w="2194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Arial" w:hAnsi="Arial" w:cs="Arial"/>
                <w:kern w:val="0"/>
                <w:sz w:val="28"/>
                <w:szCs w:val="28"/>
              </w:rPr>
            </w:pPr>
            <w:r>
              <w:rPr>
                <w:rFonts w:hint="eastAsia" w:cs="Arial" w:asciiTheme="majorEastAsia" w:hAnsiTheme="majorEastAsia" w:eastAsiaTheme="majorEastAsia"/>
                <w:kern w:val="0"/>
                <w:sz w:val="28"/>
                <w:szCs w:val="28"/>
              </w:rPr>
              <w:t>≧</w:t>
            </w:r>
            <w:r>
              <w:rPr>
                <w:rFonts w:hint="eastAsia" w:cs="宋体" w:asciiTheme="majorEastAsia" w:hAnsiTheme="majorEastAsia" w:eastAsiaTheme="majorEastAsia"/>
                <w:kern w:val="0"/>
                <w:sz w:val="28"/>
                <w:szCs w:val="28"/>
              </w:rPr>
              <w:t>93%</w:t>
            </w:r>
          </w:p>
        </w:tc>
        <w:tc>
          <w:tcPr>
            <w:tcW w:w="1518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社会公众或服务对象满意度</w:t>
            </w:r>
          </w:p>
        </w:tc>
        <w:tc>
          <w:tcPr>
            <w:tcW w:w="1835" w:type="dxa"/>
            <w:gridSpan w:val="3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上访人员满意率</w:t>
            </w:r>
          </w:p>
        </w:tc>
        <w:tc>
          <w:tcPr>
            <w:tcW w:w="2194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 w:cs="Arial" w:asciiTheme="majorEastAsia" w:hAnsiTheme="majorEastAsia" w:eastAsiaTheme="majorEastAsia"/>
                <w:kern w:val="0"/>
                <w:sz w:val="28"/>
                <w:szCs w:val="28"/>
              </w:rPr>
              <w:t>≧</w:t>
            </w:r>
            <w:r>
              <w:rPr>
                <w:rFonts w:hint="eastAsia" w:cs="宋体" w:asciiTheme="majorEastAsia" w:hAnsiTheme="majorEastAsia" w:eastAsiaTheme="majorEastAsia"/>
                <w:kern w:val="0"/>
                <w:sz w:val="28"/>
                <w:szCs w:val="28"/>
              </w:rPr>
              <w:t>95%</w:t>
            </w:r>
          </w:p>
        </w:tc>
        <w:tc>
          <w:tcPr>
            <w:tcW w:w="1518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</w:tbl>
    <w:p>
      <w:pPr>
        <w:tabs>
          <w:tab w:val="left" w:pos="6396"/>
        </w:tabs>
        <w:rPr>
          <w:rFonts w:asciiTheme="majorEastAsia" w:hAnsiTheme="majorEastAsia" w:eastAsiaTheme="majorEastAsia" w:cstheme="majorEastAsia"/>
          <w:sz w:val="24"/>
          <w:szCs w:val="24"/>
        </w:rPr>
      </w:pPr>
    </w:p>
    <w:p>
      <w:pPr>
        <w:tabs>
          <w:tab w:val="left" w:pos="6396"/>
        </w:tabs>
        <w:rPr>
          <w:rFonts w:asciiTheme="majorEastAsia" w:hAnsiTheme="majorEastAsia" w:eastAsiaTheme="majorEastAsia" w:cstheme="majorEastAsia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</w:rPr>
        <w:t>填表人: 陈晓瑛    联系电话:13975498346    日期：2023年4月8日</w:t>
      </w:r>
    </w:p>
    <w:p>
      <w:pPr>
        <w:tabs>
          <w:tab w:val="left" w:pos="6396"/>
        </w:tabs>
        <w:rPr>
          <w:rFonts w:asciiTheme="majorEastAsia" w:hAnsiTheme="majorEastAsia" w:eastAsiaTheme="majorEastAsia" w:cstheme="majorEastAsia"/>
          <w:sz w:val="24"/>
          <w:szCs w:val="24"/>
        </w:rPr>
      </w:pPr>
    </w:p>
    <w:p>
      <w:pPr>
        <w:tabs>
          <w:tab w:val="left" w:pos="6396"/>
        </w:tabs>
        <w:rPr>
          <w:rFonts w:asciiTheme="majorEastAsia" w:hAnsiTheme="majorEastAsia" w:eastAsiaTheme="majorEastAsia" w:cstheme="majorEastAsia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</w:rPr>
        <w:t>单位负责人签字:</w:t>
      </w:r>
    </w:p>
    <w:p>
      <w:pPr>
        <w:tabs>
          <w:tab w:val="left" w:pos="6396"/>
        </w:tabs>
        <w:rPr>
          <w:rFonts w:asciiTheme="majorEastAsia" w:hAnsiTheme="majorEastAsia" w:eastAsiaTheme="majorEastAsia" w:cstheme="majorEastAsia"/>
          <w:sz w:val="24"/>
          <w:szCs w:val="24"/>
        </w:rPr>
      </w:pPr>
    </w:p>
    <w:p>
      <w:pPr>
        <w:tabs>
          <w:tab w:val="left" w:pos="6396"/>
        </w:tabs>
        <w:rPr>
          <w:rFonts w:asciiTheme="majorEastAsia" w:hAnsiTheme="majorEastAsia" w:eastAsiaTheme="majorEastAsia" w:cstheme="majorEastAsia"/>
          <w:sz w:val="24"/>
          <w:szCs w:val="24"/>
        </w:rPr>
      </w:pPr>
    </w:p>
    <w:p/>
    <w:p/>
    <w:p>
      <w:pPr>
        <w:tabs>
          <w:tab w:val="left" w:pos="6396"/>
        </w:tabs>
        <w:rPr>
          <w:rFonts w:asciiTheme="majorEastAsia" w:hAnsiTheme="majorEastAsia" w:eastAsiaTheme="majorEastAsia" w:cstheme="majorEastAsia"/>
          <w:sz w:val="24"/>
          <w:szCs w:val="24"/>
        </w:rPr>
      </w:pPr>
      <w:bookmarkStart w:id="0" w:name="_GoBack"/>
      <w:bookmarkEnd w:id="0"/>
    </w:p>
    <w:p>
      <w:pPr>
        <w:tabs>
          <w:tab w:val="left" w:pos="6396"/>
        </w:tabs>
        <w:rPr>
          <w:rFonts w:asciiTheme="majorEastAsia" w:hAnsiTheme="majorEastAsia" w:eastAsiaTheme="majorEastAsia" w:cstheme="majorEastAsia"/>
          <w:sz w:val="24"/>
          <w:szCs w:val="24"/>
        </w:rPr>
      </w:pPr>
    </w:p>
    <w:p/>
    <w:p/>
    <w:sectPr>
      <w:pgSz w:w="11906" w:h="16838"/>
      <w:pgMar w:top="1270" w:right="1800" w:bottom="986" w:left="1800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4EF72DA"/>
    <w:multiLevelType w:val="multilevel"/>
    <w:tmpl w:val="34EF72DA"/>
    <w:lvl w:ilvl="0" w:tentative="0">
      <w:start w:val="1"/>
      <w:numFmt w:val="japaneseCounting"/>
      <w:lvlText w:val="%1、"/>
      <w:lvlJc w:val="left"/>
      <w:pPr>
        <w:ind w:left="720" w:hanging="720"/>
      </w:pPr>
      <w:rPr>
        <w:rFonts w:asciiTheme="minorHAnsi" w:hAnsiTheme="minorHAnsi" w:eastAsiaTheme="minorEastAsia" w:cstheme="minorBidi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jgwZmNmOWY0ZWZhZTI4ZTMyYjE3YTZlZDAzMzZmNDEifQ=="/>
  </w:docVars>
  <w:rsids>
    <w:rsidRoot w:val="21335E6D"/>
    <w:rsid w:val="00041FC5"/>
    <w:rsid w:val="00044A03"/>
    <w:rsid w:val="000579F5"/>
    <w:rsid w:val="00077FEC"/>
    <w:rsid w:val="00095932"/>
    <w:rsid w:val="000A2512"/>
    <w:rsid w:val="000D5032"/>
    <w:rsid w:val="00150CA3"/>
    <w:rsid w:val="00185936"/>
    <w:rsid w:val="001E09DD"/>
    <w:rsid w:val="001E4B1C"/>
    <w:rsid w:val="002327E2"/>
    <w:rsid w:val="002727D5"/>
    <w:rsid w:val="00295F8C"/>
    <w:rsid w:val="003155BC"/>
    <w:rsid w:val="003523FE"/>
    <w:rsid w:val="003709E3"/>
    <w:rsid w:val="003A38C1"/>
    <w:rsid w:val="003B1E38"/>
    <w:rsid w:val="003E207E"/>
    <w:rsid w:val="00413AF5"/>
    <w:rsid w:val="00421871"/>
    <w:rsid w:val="00425433"/>
    <w:rsid w:val="0043317B"/>
    <w:rsid w:val="0046174D"/>
    <w:rsid w:val="004739A1"/>
    <w:rsid w:val="004955F9"/>
    <w:rsid w:val="00543E84"/>
    <w:rsid w:val="005728FC"/>
    <w:rsid w:val="005734D1"/>
    <w:rsid w:val="00581D1E"/>
    <w:rsid w:val="00587C1C"/>
    <w:rsid w:val="005B339A"/>
    <w:rsid w:val="006062FD"/>
    <w:rsid w:val="00641A25"/>
    <w:rsid w:val="006430ED"/>
    <w:rsid w:val="00655C19"/>
    <w:rsid w:val="00676F6F"/>
    <w:rsid w:val="006965E3"/>
    <w:rsid w:val="006B4388"/>
    <w:rsid w:val="006C61D2"/>
    <w:rsid w:val="00734067"/>
    <w:rsid w:val="00756045"/>
    <w:rsid w:val="007E70EE"/>
    <w:rsid w:val="0082367C"/>
    <w:rsid w:val="008A39EE"/>
    <w:rsid w:val="008B4BF1"/>
    <w:rsid w:val="009054DC"/>
    <w:rsid w:val="0091084E"/>
    <w:rsid w:val="009733D9"/>
    <w:rsid w:val="00973866"/>
    <w:rsid w:val="009A5214"/>
    <w:rsid w:val="009E44B2"/>
    <w:rsid w:val="00A104F2"/>
    <w:rsid w:val="00A13D84"/>
    <w:rsid w:val="00A3206F"/>
    <w:rsid w:val="00A32CF9"/>
    <w:rsid w:val="00A462E4"/>
    <w:rsid w:val="00AA00A0"/>
    <w:rsid w:val="00AA54DF"/>
    <w:rsid w:val="00AB02C2"/>
    <w:rsid w:val="00AE77F7"/>
    <w:rsid w:val="00B24394"/>
    <w:rsid w:val="00B425C7"/>
    <w:rsid w:val="00B472DC"/>
    <w:rsid w:val="00B507C1"/>
    <w:rsid w:val="00BA64F1"/>
    <w:rsid w:val="00BB6E91"/>
    <w:rsid w:val="00BC02BC"/>
    <w:rsid w:val="00BC38AB"/>
    <w:rsid w:val="00C01A8E"/>
    <w:rsid w:val="00C3005D"/>
    <w:rsid w:val="00C376BA"/>
    <w:rsid w:val="00C40C85"/>
    <w:rsid w:val="00C63827"/>
    <w:rsid w:val="00CE0C72"/>
    <w:rsid w:val="00CF087F"/>
    <w:rsid w:val="00CF3669"/>
    <w:rsid w:val="00D01D07"/>
    <w:rsid w:val="00D1256C"/>
    <w:rsid w:val="00D267B5"/>
    <w:rsid w:val="00D54AA9"/>
    <w:rsid w:val="00D705F1"/>
    <w:rsid w:val="00DE1BBE"/>
    <w:rsid w:val="00E175FA"/>
    <w:rsid w:val="00E33E35"/>
    <w:rsid w:val="00E351D2"/>
    <w:rsid w:val="00E36BE4"/>
    <w:rsid w:val="00E57751"/>
    <w:rsid w:val="00F03368"/>
    <w:rsid w:val="00F04876"/>
    <w:rsid w:val="00F43A9F"/>
    <w:rsid w:val="00F61136"/>
    <w:rsid w:val="00F741EF"/>
    <w:rsid w:val="10F712FD"/>
    <w:rsid w:val="21335E6D"/>
    <w:rsid w:val="256649FF"/>
    <w:rsid w:val="498428D2"/>
    <w:rsid w:val="74947058"/>
    <w:rsid w:val="78FA560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List Paragraph"/>
    <w:basedOn w:val="1"/>
    <w:unhideWhenUsed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567FDC9-0AAD-412A-B7CC-398C7A59E71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86</Words>
  <Characters>493</Characters>
  <Lines>4</Lines>
  <Paragraphs>1</Paragraphs>
  <TotalTime>0</TotalTime>
  <ScaleCrop>false</ScaleCrop>
  <LinksUpToDate>false</LinksUpToDate>
  <CharactersWithSpaces>578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2021-04-25T03:07:00Z</dcterms:created>
  <dc:creator>Administrator</dc:creator>
  <cp:lastModifiedBy>Administrator</cp:lastModifiedBy>
  <dcterms:modified xsi:type="dcterms:W3CDTF">2023-04-25T14:33:17Z</dcterms:modified>
  <cp:revision>287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87A70884AA704EC792CBD3C9E8EF3D7E</vt:lpwstr>
  </property>
</Properties>
</file>