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楷体" w:hAnsi="楷体" w:eastAsia="楷体" w:cs="楷体"/>
          <w:b/>
          <w:bCs/>
          <w:sz w:val="24"/>
          <w:szCs w:val="24"/>
          <w:lang w:val="en-US" w:eastAsia="zh-CN"/>
        </w:rPr>
      </w:pPr>
      <w:r>
        <w:rPr>
          <w:rFonts w:hint="eastAsia" w:ascii="楷体" w:hAnsi="楷体" w:eastAsia="楷体" w:cs="楷体"/>
          <w:b/>
          <w:bCs/>
          <w:sz w:val="24"/>
          <w:szCs w:val="24"/>
          <w:lang w:val="en-US" w:eastAsia="zh-CN"/>
        </w:rPr>
        <w:t>附件1：</w:t>
      </w:r>
    </w:p>
    <w:p/>
    <w:p>
      <w:pPr>
        <w:spacing w:before="240" w:after="240"/>
        <w:jc w:val="center"/>
        <w:rPr>
          <w:rFonts w:hint="eastAsia" w:ascii="黑体" w:hAnsi="黑体" w:eastAsia="黑体" w:cs="黑体"/>
          <w:b/>
          <w:bCs w:val="0"/>
          <w:spacing w:val="-20"/>
          <w:kern w:val="0"/>
          <w:sz w:val="44"/>
          <w:szCs w:val="44"/>
        </w:rPr>
      </w:pPr>
      <w:r>
        <w:rPr>
          <w:rFonts w:hint="eastAsia" w:ascii="黑体" w:hAnsi="黑体" w:eastAsia="黑体" w:cs="黑体"/>
          <w:b/>
          <w:bCs w:val="0"/>
          <w:spacing w:val="-20"/>
          <w:kern w:val="0"/>
          <w:sz w:val="44"/>
          <w:szCs w:val="44"/>
          <w:lang w:val="en-US" w:eastAsia="zh-CN"/>
        </w:rPr>
        <w:t>2023</w:t>
      </w:r>
      <w:r>
        <w:rPr>
          <w:rFonts w:hint="eastAsia" w:ascii="黑体" w:hAnsi="黑体" w:eastAsia="黑体" w:cs="黑体"/>
          <w:b/>
          <w:bCs w:val="0"/>
          <w:spacing w:val="-20"/>
          <w:kern w:val="0"/>
          <w:sz w:val="44"/>
          <w:szCs w:val="44"/>
        </w:rPr>
        <w:t>年</w:t>
      </w:r>
      <w:r>
        <w:rPr>
          <w:rFonts w:hint="eastAsia" w:ascii="黑体" w:hAnsi="黑体" w:eastAsia="黑体" w:cs="黑体"/>
          <w:b/>
          <w:bCs w:val="0"/>
          <w:spacing w:val="-20"/>
          <w:kern w:val="0"/>
          <w:sz w:val="44"/>
          <w:szCs w:val="44"/>
          <w:lang w:val="en-US" w:eastAsia="zh-CN"/>
        </w:rPr>
        <w:t>度</w:t>
      </w:r>
      <w:r>
        <w:rPr>
          <w:rFonts w:hint="eastAsia" w:ascii="黑体" w:hAnsi="黑体" w:eastAsia="黑体" w:cs="黑体"/>
          <w:b/>
          <w:bCs w:val="0"/>
          <w:spacing w:val="-20"/>
          <w:kern w:val="0"/>
          <w:sz w:val="44"/>
          <w:szCs w:val="44"/>
        </w:rPr>
        <w:t>部门整体支出</w:t>
      </w:r>
      <w:r>
        <w:rPr>
          <w:rFonts w:hint="eastAsia" w:ascii="黑体" w:hAnsi="黑体" w:eastAsia="黑体" w:cs="黑体"/>
          <w:b/>
          <w:bCs w:val="0"/>
          <w:spacing w:val="-20"/>
          <w:kern w:val="0"/>
          <w:sz w:val="44"/>
          <w:szCs w:val="44"/>
          <w:lang w:val="en-US" w:eastAsia="zh-CN"/>
        </w:rPr>
        <w:t>预算</w:t>
      </w:r>
      <w:r>
        <w:rPr>
          <w:rFonts w:hint="eastAsia" w:ascii="黑体" w:hAnsi="黑体" w:eastAsia="黑体" w:cs="黑体"/>
          <w:b/>
          <w:bCs w:val="0"/>
          <w:spacing w:val="-20"/>
          <w:kern w:val="0"/>
          <w:sz w:val="44"/>
          <w:szCs w:val="44"/>
        </w:rPr>
        <w:t>绩效目标</w:t>
      </w:r>
      <w:r>
        <w:rPr>
          <w:rFonts w:hint="eastAsia" w:ascii="黑体" w:hAnsi="黑体" w:eastAsia="黑体" w:cs="黑体"/>
          <w:b/>
          <w:bCs w:val="0"/>
          <w:spacing w:val="-20"/>
          <w:kern w:val="0"/>
          <w:sz w:val="44"/>
          <w:szCs w:val="44"/>
          <w:lang w:val="en-US" w:eastAsia="zh-CN"/>
        </w:rPr>
        <w:t>申报</w:t>
      </w:r>
      <w:r>
        <w:rPr>
          <w:rFonts w:hint="eastAsia" w:ascii="黑体" w:hAnsi="黑体" w:eastAsia="黑体" w:cs="黑体"/>
          <w:b/>
          <w:bCs w:val="0"/>
          <w:spacing w:val="-20"/>
          <w:kern w:val="0"/>
          <w:sz w:val="44"/>
          <w:szCs w:val="44"/>
        </w:rPr>
        <w:t>表</w:t>
      </w:r>
    </w:p>
    <w:p>
      <w:pPr>
        <w:widowControl/>
        <w:tabs>
          <w:tab w:val="left" w:pos="2593"/>
        </w:tabs>
        <w:jc w:val="left"/>
        <w:rPr>
          <w:rFonts w:hint="default" w:ascii="仿宋_GB2312" w:eastAsia="仿宋_GB2312"/>
          <w:b/>
          <w:bCs/>
          <w:kern w:val="0"/>
          <w:szCs w:val="21"/>
          <w:lang w:val="en-US" w:eastAsia="zh-CN"/>
        </w:rPr>
      </w:pPr>
      <w:r>
        <w:rPr>
          <w:rFonts w:hint="eastAsia" w:ascii="仿宋_GB2312" w:eastAsia="仿宋_GB2312"/>
          <w:b/>
          <w:bCs/>
          <w:kern w:val="0"/>
          <w:sz w:val="24"/>
          <w:szCs w:val="21"/>
        </w:rPr>
        <w:t>填报单位：（盖章）</w:t>
      </w:r>
      <w:r>
        <w:rPr>
          <w:rFonts w:hint="eastAsia" w:ascii="仿宋_GB2312" w:eastAsia="仿宋_GB2312"/>
          <w:b/>
          <w:bCs/>
          <w:kern w:val="0"/>
          <w:sz w:val="24"/>
          <w:szCs w:val="21"/>
          <w:lang w:eastAsia="zh-CN"/>
        </w:rPr>
        <w:t>衡东县应急管理局</w:t>
      </w:r>
      <w:r>
        <w:rPr>
          <w:rFonts w:hint="eastAsia" w:ascii="仿宋_GB2312" w:eastAsia="仿宋_GB2312"/>
          <w:b/>
          <w:bCs/>
          <w:kern w:val="0"/>
          <w:szCs w:val="21"/>
        </w:rPr>
        <w:tab/>
      </w:r>
      <w:r>
        <w:rPr>
          <w:rFonts w:hint="eastAsia" w:ascii="仿宋_GB2312" w:eastAsia="仿宋_GB2312"/>
          <w:b/>
          <w:bCs/>
          <w:kern w:val="0"/>
          <w:szCs w:val="21"/>
          <w:lang w:val="en-US" w:eastAsia="zh-CN"/>
        </w:rPr>
        <w:t xml:space="preserve">                                单位：万元        </w:t>
      </w:r>
    </w:p>
    <w:tbl>
      <w:tblPr>
        <w:tblStyle w:val="5"/>
        <w:tblpPr w:leftFromText="180" w:rightFromText="180" w:vertAnchor="page" w:horzAnchor="page" w:tblpX="1485" w:tblpY="3363"/>
        <w:tblOverlap w:val="never"/>
        <w:tblW w:w="94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1"/>
        <w:gridCol w:w="1406"/>
        <w:gridCol w:w="1755"/>
        <w:gridCol w:w="779"/>
        <w:gridCol w:w="961"/>
        <w:gridCol w:w="2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761" w:type="dxa"/>
            <w:vAlign w:val="center"/>
          </w:tcPr>
          <w:p>
            <w:pPr>
              <w:widowControl/>
              <w:jc w:val="center"/>
              <w:rPr>
                <w:rFonts w:hint="eastAsia" w:ascii="仿宋" w:hAnsi="仿宋" w:eastAsia="仿宋" w:cs="仿宋"/>
                <w:kern w:val="0"/>
                <w:sz w:val="21"/>
                <w:szCs w:val="21"/>
              </w:rPr>
            </w:pPr>
            <w:r>
              <w:rPr>
                <w:rFonts w:hint="eastAsia" w:ascii="仿宋" w:hAnsi="仿宋" w:eastAsia="仿宋" w:cs="仿宋"/>
                <w:b/>
                <w:bCs/>
                <w:kern w:val="0"/>
                <w:sz w:val="21"/>
                <w:szCs w:val="21"/>
              </w:rPr>
              <w:t>部门名称</w:t>
            </w:r>
          </w:p>
        </w:tc>
        <w:tc>
          <w:tcPr>
            <w:tcW w:w="7681" w:type="dxa"/>
            <w:gridSpan w:val="5"/>
            <w:vAlign w:val="center"/>
          </w:tcPr>
          <w:p>
            <w:pPr>
              <w:widowControl/>
              <w:jc w:val="center"/>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衡东县应急管理局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761" w:type="dxa"/>
            <w:vMerge w:val="restart"/>
            <w:vAlign w:val="center"/>
          </w:tcPr>
          <w:p>
            <w:pPr>
              <w:widowControl/>
              <w:jc w:val="center"/>
              <w:rPr>
                <w:rFonts w:hint="eastAsia" w:ascii="仿宋" w:hAnsi="仿宋" w:eastAsia="仿宋" w:cs="仿宋"/>
                <w:kern w:val="0"/>
                <w:sz w:val="21"/>
                <w:szCs w:val="21"/>
              </w:rPr>
            </w:pPr>
            <w:r>
              <w:rPr>
                <w:rFonts w:hint="eastAsia" w:ascii="仿宋" w:hAnsi="仿宋" w:eastAsia="仿宋" w:cs="仿宋"/>
                <w:b/>
                <w:bCs/>
                <w:kern w:val="0"/>
                <w:sz w:val="21"/>
                <w:szCs w:val="21"/>
              </w:rPr>
              <w:t>年度预算申请</w:t>
            </w:r>
            <w:r>
              <w:rPr>
                <w:rFonts w:hint="eastAsia" w:ascii="仿宋" w:hAnsi="仿宋" w:eastAsia="仿宋" w:cs="仿宋"/>
                <w:b/>
                <w:bCs/>
                <w:kern w:val="0"/>
                <w:sz w:val="21"/>
                <w:szCs w:val="21"/>
              </w:rPr>
              <w:br w:type="textWrapping"/>
            </w:r>
            <w:r>
              <w:rPr>
                <w:rFonts w:hint="eastAsia" w:ascii="仿宋" w:hAnsi="仿宋" w:eastAsia="仿宋" w:cs="仿宋"/>
                <w:b/>
                <w:bCs/>
                <w:kern w:val="0"/>
                <w:sz w:val="21"/>
                <w:szCs w:val="21"/>
              </w:rPr>
              <w:t>（万元）</w:t>
            </w:r>
          </w:p>
        </w:tc>
        <w:tc>
          <w:tcPr>
            <w:tcW w:w="7681" w:type="dxa"/>
            <w:gridSpan w:val="5"/>
            <w:vAlign w:val="center"/>
          </w:tcPr>
          <w:p>
            <w:pPr>
              <w:widowControl/>
              <w:jc w:val="left"/>
              <w:rPr>
                <w:rFonts w:hint="default"/>
                <w:lang w:val="en-US" w:eastAsia="zh-CN"/>
              </w:rPr>
            </w:pPr>
            <w:r>
              <w:rPr>
                <w:rFonts w:hint="eastAsia"/>
              </w:rPr>
              <w:t>资金总额：</w:t>
            </w:r>
            <w:r>
              <w:rPr>
                <w:rFonts w:hint="eastAsia"/>
                <w:lang w:val="en-US" w:eastAsia="zh-CN"/>
              </w:rPr>
              <w:t>1389.06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b/>
                <w:bCs/>
                <w:kern w:val="0"/>
                <w:sz w:val="21"/>
                <w:szCs w:val="21"/>
              </w:rPr>
            </w:pPr>
            <w:r>
              <w:rPr>
                <w:rFonts w:hint="eastAsia" w:ascii="仿宋" w:hAnsi="仿宋" w:eastAsia="仿宋" w:cs="仿宋"/>
                <w:b/>
                <w:bCs/>
                <w:kern w:val="0"/>
                <w:sz w:val="21"/>
                <w:szCs w:val="21"/>
              </w:rPr>
              <w:t>按收入性质分：</w:t>
            </w:r>
          </w:p>
        </w:tc>
        <w:tc>
          <w:tcPr>
            <w:tcW w:w="3741" w:type="dxa"/>
            <w:gridSpan w:val="2"/>
            <w:vAlign w:val="center"/>
          </w:tcPr>
          <w:p>
            <w:pPr>
              <w:widowControl/>
              <w:jc w:val="left"/>
              <w:rPr>
                <w:rFonts w:hint="eastAsia" w:ascii="仿宋" w:hAnsi="仿宋" w:eastAsia="仿宋" w:cs="仿宋"/>
                <w:b/>
                <w:bCs/>
                <w:kern w:val="0"/>
                <w:sz w:val="21"/>
                <w:szCs w:val="21"/>
              </w:rPr>
            </w:pPr>
            <w:r>
              <w:rPr>
                <w:rFonts w:hint="eastAsia" w:ascii="仿宋" w:hAnsi="仿宋" w:eastAsia="仿宋" w:cs="仿宋"/>
                <w:b/>
                <w:bCs/>
                <w:kern w:val="0"/>
                <w:sz w:val="21"/>
                <w:szCs w:val="21"/>
              </w:rPr>
              <w:t>按支出性质分：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其中： 一般公共预算：</w:t>
            </w:r>
            <w:r>
              <w:rPr>
                <w:rFonts w:hint="eastAsia" w:ascii="仿宋" w:hAnsi="仿宋" w:eastAsia="仿宋" w:cs="仿宋"/>
                <w:kern w:val="0"/>
                <w:sz w:val="21"/>
                <w:szCs w:val="21"/>
                <w:lang w:val="en-US" w:eastAsia="zh-CN"/>
              </w:rPr>
              <w:t>1309.06</w:t>
            </w:r>
          </w:p>
        </w:tc>
        <w:tc>
          <w:tcPr>
            <w:tcW w:w="3741" w:type="dxa"/>
            <w:gridSpan w:val="2"/>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其中： 基本支出：</w:t>
            </w:r>
            <w:r>
              <w:rPr>
                <w:rFonts w:hint="eastAsia" w:ascii="仿宋" w:hAnsi="仿宋" w:eastAsia="仿宋" w:cs="仿宋"/>
                <w:kern w:val="0"/>
                <w:sz w:val="21"/>
                <w:szCs w:val="21"/>
                <w:lang w:val="en-US" w:eastAsia="zh-CN"/>
              </w:rPr>
              <w:t>894.06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政府性基金拨款：</w:t>
            </w:r>
          </w:p>
        </w:tc>
        <w:tc>
          <w:tcPr>
            <w:tcW w:w="3741" w:type="dxa"/>
            <w:gridSpan w:val="2"/>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 xml:space="preserve">       项目支出：</w:t>
            </w:r>
            <w:r>
              <w:rPr>
                <w:rFonts w:hint="eastAsia" w:ascii="仿宋" w:hAnsi="仿宋" w:eastAsia="仿宋" w:cs="仿宋"/>
                <w:kern w:val="0"/>
                <w:sz w:val="21"/>
                <w:szCs w:val="21"/>
                <w:lang w:val="en-US" w:eastAsia="zh-CN"/>
              </w:rPr>
              <w:t>495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纳入专户管理的非税收入拨款：</w:t>
            </w:r>
            <w:r>
              <w:rPr>
                <w:rFonts w:hint="eastAsia" w:ascii="仿宋" w:hAnsi="仿宋" w:eastAsia="仿宋" w:cs="仿宋"/>
                <w:kern w:val="0"/>
                <w:sz w:val="21"/>
                <w:szCs w:val="21"/>
                <w:lang w:val="en-US" w:eastAsia="zh-CN"/>
              </w:rPr>
              <w:t>80</w:t>
            </w:r>
          </w:p>
        </w:tc>
        <w:tc>
          <w:tcPr>
            <w:tcW w:w="3741" w:type="dxa"/>
            <w:gridSpan w:val="2"/>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其他资金：</w:t>
            </w:r>
          </w:p>
        </w:tc>
        <w:tc>
          <w:tcPr>
            <w:tcW w:w="3741" w:type="dxa"/>
            <w:gridSpan w:val="2"/>
            <w:vAlign w:val="center"/>
          </w:tcPr>
          <w:p>
            <w:pPr>
              <w:widowControl/>
              <w:jc w:val="left"/>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61"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部门职能</w:t>
            </w:r>
          </w:p>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职责概述</w:t>
            </w:r>
          </w:p>
        </w:tc>
        <w:tc>
          <w:tcPr>
            <w:tcW w:w="7681" w:type="dxa"/>
            <w:gridSpan w:val="5"/>
            <w:vAlign w:val="center"/>
          </w:tcPr>
          <w:p>
            <w:pPr>
              <w:jc w:val="both"/>
              <w:rPr>
                <w:rFonts w:hint="eastAsia" w:ascii="仿宋" w:hAnsi="仿宋" w:eastAsia="仿宋" w:cs="仿宋"/>
                <w:sz w:val="21"/>
                <w:szCs w:val="21"/>
                <w:lang w:val="en-US" w:eastAsia="zh-CN"/>
              </w:rPr>
            </w:pPr>
            <w:r>
              <w:rPr>
                <w:rFonts w:hint="eastAsia" w:ascii="仿宋" w:hAnsi="仿宋" w:eastAsia="仿宋" w:cs="仿宋"/>
                <w:sz w:val="21"/>
                <w:szCs w:val="21"/>
              </w:rPr>
              <w:t xml:space="preserve"> </w:t>
            </w:r>
            <w:r>
              <w:rPr>
                <w:rFonts w:hint="eastAsia" w:ascii="仿宋" w:hAnsi="仿宋" w:eastAsia="仿宋" w:cs="仿宋"/>
                <w:sz w:val="21"/>
                <w:szCs w:val="21"/>
                <w:lang w:val="en-US" w:eastAsia="zh-CN"/>
              </w:rPr>
              <w:t xml:space="preserve"> （一）负责应急管理工作，指导全县各乡镇各部门应对安全生产类、自然灾害类等突发事件和综合防灾减灾救灾工作。负责安全生产综合监督管理和权限内工矿商贸行业安全生产监督管理工作。</w:t>
            </w:r>
          </w:p>
          <w:p>
            <w:pPr>
              <w:ind w:firstLine="210" w:firstLineChars="100"/>
              <w:jc w:val="both"/>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（二）贯彻实施相关法律法规、部门规章、规程和标准，组织编制全县应急体系建设、安全生产和综合防灾减灾规划，组织拟订相关规范性文件并监督实施。</w:t>
            </w:r>
          </w:p>
          <w:p>
            <w:pPr>
              <w:ind w:firstLine="210" w:firstLineChars="100"/>
              <w:jc w:val="both"/>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三）指导应急预案体系建设，建立完善事故灾难和自然灾害分级应对制度，组织编制衡东县总体应急预案和安全生产类、自然灾害类专项预案，综合协调应急预案衔接工作，组织开展预案演练，推动应急避难设施建设。</w:t>
            </w:r>
          </w:p>
          <w:p>
            <w:pPr>
              <w:ind w:firstLine="210" w:firstLineChars="100"/>
              <w:jc w:val="both"/>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（四）牵头推进全县统一的应急管理信息系统建设，负责信息传输渠道的规划和布局，建立监测预警和灾情报告制度，健全自然灾害信息资源获取和共享机制，依法统一发布灾情。</w:t>
            </w:r>
          </w:p>
          <w:p>
            <w:pPr>
              <w:ind w:firstLine="210" w:firstLineChars="100"/>
              <w:jc w:val="both"/>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五）组织指导协调安全生产类、自然灾害类等突发事件应急救援，承担县应对较大及以上灾害指挥部的相关工作，综合研判突发事件发展态势并提出应对建议，协助县委、县政府指定的负责同志组织较大及以上灾害应急处置工作。</w:t>
            </w:r>
          </w:p>
          <w:p>
            <w:pPr>
              <w:ind w:firstLine="210" w:firstLineChars="100"/>
              <w:jc w:val="both"/>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（六）统一协调指挥各类应急专业队伍，建立应急协调联动机制，推进指挥平台对接，负责做好解放军和武警部队参与应急救援相关衔接工作。</w:t>
            </w:r>
          </w:p>
          <w:p>
            <w:pPr>
              <w:ind w:firstLine="210" w:firstLineChars="100"/>
              <w:jc w:val="both"/>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七）统筹全县应急救援力量建设，负责消防、森林火灾扑救、抗洪抢险、地震和地质灾害救援、生产安全事故救援等专业应急救援力量建设，依权限管理综合性应急救援队伍，指导乡镇、部门、园区及社会应急救援力量建设工作。</w:t>
            </w:r>
          </w:p>
          <w:p>
            <w:pPr>
              <w:ind w:firstLine="210" w:firstLineChars="100"/>
              <w:jc w:val="both"/>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（八）指导协调全县消防管理有关工作，指导乡镇、部门、园区消防监督、火灾预防、火灾扑救等工作。</w:t>
            </w:r>
          </w:p>
          <w:p>
            <w:pPr>
              <w:ind w:firstLine="210" w:firstLineChars="100"/>
              <w:jc w:val="both"/>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（九）指导协调全县森林火灾、水旱灾害、地震和地质灾害等防治工作，负责自然灾害综合监测预警工作，指导开展自然灾害综合风险评估工作。</w:t>
            </w:r>
          </w:p>
          <w:p>
            <w:pPr>
              <w:ind w:firstLine="210" w:firstLineChars="100"/>
              <w:jc w:val="both"/>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（十）组织协调灾害救助工作，组织指导灾情核查、损失评估、救灾捐赠工作，按权限管理、分配中央、省、市级下达和县级救灾款物并监督使用。</w:t>
            </w:r>
          </w:p>
          <w:p>
            <w:pPr>
              <w:ind w:firstLine="210" w:firstLineChars="100"/>
              <w:jc w:val="both"/>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（十一）依法行使安全生产综合监督管理职权，指导协调、监督检查乡镇、部门及园区安全生产工作，组织开展安全生产巡查、考核工作。</w:t>
            </w:r>
          </w:p>
          <w:p>
            <w:pPr>
              <w:ind w:firstLine="210" w:firstLineChars="100"/>
              <w:jc w:val="both"/>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十二）按照分级、属地原则，依法监督检查权限内工矿商贸生产经营单位贯彻执行安全生产法律法规情况及其安全生产条件和有关设备（特种设备除外）、材料、劳动防护用品的安全生产管理工作。负责监督管理工矿商贸行业县属企业安全生产工作。依法组织和指导监督实施安全生产准入制度。负责危险化学品安全监督管理综合工作和烟花爆竹经营安全生产监督管理工作。</w:t>
            </w:r>
          </w:p>
          <w:p>
            <w:pPr>
              <w:ind w:firstLine="210" w:firstLineChars="100"/>
              <w:jc w:val="both"/>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（十三）依法组织指导生产安全事故调查处理，监督事故查处和责任追究落实情况。组织开展自然灾害类突发事件的调查评估工作。</w:t>
            </w:r>
          </w:p>
          <w:p>
            <w:pPr>
              <w:ind w:firstLine="210" w:firstLineChars="100"/>
              <w:jc w:val="both"/>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（十四）开展应急管理对外交流与合作，组织参与安全生产类、自然灾害类等突发事件的对外救援工作。</w:t>
            </w:r>
          </w:p>
          <w:p>
            <w:pPr>
              <w:ind w:firstLine="210" w:firstLineChars="100"/>
              <w:jc w:val="both"/>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（十五）制定全县应急物资储备和应急救援装备规划并组织实施，会同县商务和粮食局等部门建立健全应急物资信息平台和调拨制度，在救灾时统一调度。</w:t>
            </w:r>
          </w:p>
          <w:p>
            <w:pPr>
              <w:ind w:firstLine="210" w:firstLineChars="100"/>
              <w:jc w:val="both"/>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（十六）负责应急管理、安全生产宣传教育和培训工作，组织指导应急管理、安全生产的科学技术研究、推广应用和信息化建设工作。</w:t>
            </w:r>
          </w:p>
          <w:p>
            <w:pPr>
              <w:ind w:firstLine="210" w:firstLineChars="100"/>
              <w:jc w:val="both"/>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（十七）承担县防汛抗旱指挥部日常工作，协调县防汛抗旱指挥部成员单位的相关工作，组织执行国家防汛抗旱总指挥部、相关流域防汛抗旱指挥机构和省、市防汛抗旱指挥部的指示、命令。</w:t>
            </w:r>
          </w:p>
          <w:p>
            <w:pPr>
              <w:ind w:firstLine="210" w:firstLineChars="100"/>
              <w:jc w:val="both"/>
              <w:rPr>
                <w:rFonts w:hint="eastAsia" w:ascii="仿宋" w:hAnsi="仿宋" w:eastAsia="仿宋" w:cs="仿宋"/>
                <w:kern w:val="0"/>
                <w:sz w:val="21"/>
                <w:szCs w:val="21"/>
              </w:rPr>
            </w:pPr>
            <w:r>
              <w:rPr>
                <w:rFonts w:hint="eastAsia" w:ascii="仿宋" w:hAnsi="仿宋" w:eastAsia="仿宋" w:cs="仿宋"/>
                <w:sz w:val="21"/>
                <w:szCs w:val="21"/>
                <w:lang w:val="en-US" w:eastAsia="zh-CN"/>
              </w:rPr>
              <w:t>（十八）完成县委、县政府交办的其他任务。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761"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整体绩效目标</w:t>
            </w:r>
          </w:p>
        </w:tc>
        <w:tc>
          <w:tcPr>
            <w:tcW w:w="7681" w:type="dxa"/>
            <w:gridSpan w:val="5"/>
            <w:vAlign w:val="center"/>
          </w:tcPr>
          <w:p>
            <w:pPr>
              <w:widowControl/>
              <w:ind w:firstLine="420" w:firstLineChars="200"/>
              <w:jc w:val="both"/>
              <w:rPr>
                <w:rFonts w:hint="eastAsia" w:ascii="仿宋" w:hAnsi="仿宋" w:eastAsia="仿宋" w:cs="仿宋"/>
                <w:kern w:val="0"/>
                <w:sz w:val="21"/>
                <w:szCs w:val="21"/>
              </w:rPr>
            </w:pPr>
            <w:r>
              <w:rPr>
                <w:rFonts w:hint="eastAsia" w:ascii="仿宋" w:hAnsi="仿宋" w:eastAsia="仿宋" w:cs="仿宋"/>
                <w:sz w:val="21"/>
                <w:szCs w:val="21"/>
              </w:rPr>
              <w:t>通过预算执行，保障单位履职、运转。积极推进项目建设，充分发挥管理、服务、协调作用，收集信息提出建议，为县委、政府提供决策参考依据。</w:t>
            </w:r>
          </w:p>
          <w:p>
            <w:pPr>
              <w:widowControl/>
              <w:jc w:val="center"/>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61" w:type="dxa"/>
            <w:vMerge w:val="restart"/>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部门整体支出</w:t>
            </w:r>
          </w:p>
          <w:p>
            <w:pPr>
              <w:jc w:val="center"/>
              <w:rPr>
                <w:rFonts w:hint="eastAsia" w:ascii="仿宋" w:hAnsi="仿宋" w:eastAsia="仿宋" w:cs="仿宋"/>
                <w:kern w:val="0"/>
                <w:sz w:val="21"/>
                <w:szCs w:val="21"/>
              </w:rPr>
            </w:pPr>
            <w:r>
              <w:rPr>
                <w:rFonts w:hint="eastAsia" w:ascii="仿宋" w:hAnsi="仿宋" w:eastAsia="仿宋" w:cs="仿宋"/>
                <w:b/>
                <w:bCs/>
                <w:kern w:val="0"/>
                <w:sz w:val="21"/>
                <w:szCs w:val="21"/>
              </w:rPr>
              <w:t>年度绩效指标</w:t>
            </w:r>
          </w:p>
        </w:tc>
        <w:tc>
          <w:tcPr>
            <w:tcW w:w="1406"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一级指标</w:t>
            </w:r>
          </w:p>
        </w:tc>
        <w:tc>
          <w:tcPr>
            <w:tcW w:w="1755"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二级指标</w:t>
            </w:r>
          </w:p>
        </w:tc>
        <w:tc>
          <w:tcPr>
            <w:tcW w:w="1740" w:type="dxa"/>
            <w:gridSpan w:val="2"/>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三级指标</w:t>
            </w:r>
          </w:p>
        </w:tc>
        <w:tc>
          <w:tcPr>
            <w:tcW w:w="2780" w:type="dxa"/>
            <w:vAlign w:val="center"/>
          </w:tcPr>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restart"/>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产出指标</w:t>
            </w: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数量指标</w:t>
            </w:r>
          </w:p>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eastAsia="zh-CN"/>
              </w:rPr>
            </w:pPr>
            <w:r>
              <w:rPr>
                <w:rFonts w:hint="eastAsia" w:ascii="仿宋" w:hAnsi="仿宋" w:eastAsia="仿宋" w:cs="仿宋"/>
                <w:snapToGrid w:val="0"/>
                <w:color w:val="000000"/>
                <w:kern w:val="0"/>
                <w:sz w:val="21"/>
                <w:szCs w:val="21"/>
                <w:lang w:eastAsia="zh-CN"/>
              </w:rPr>
              <w:t>财政供养人员</w:t>
            </w:r>
          </w:p>
        </w:tc>
        <w:tc>
          <w:tcPr>
            <w:tcW w:w="2780" w:type="dxa"/>
            <w:vAlign w:val="center"/>
          </w:tcPr>
          <w:p>
            <w:pPr>
              <w:jc w:val="center"/>
              <w:rPr>
                <w:rFonts w:hint="default"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75人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部门单位履职、运转</w:t>
            </w:r>
          </w:p>
        </w:tc>
        <w:tc>
          <w:tcPr>
            <w:tcW w:w="2780" w:type="dxa"/>
            <w:vAlign w:val="center"/>
          </w:tcPr>
          <w:p>
            <w:pPr>
              <w:jc w:val="center"/>
              <w:rPr>
                <w:rFonts w:hint="eastAsia" w:ascii="仿宋" w:hAnsi="仿宋" w:eastAsia="仿宋" w:cs="仿宋"/>
                <w:snapToGrid w:val="0"/>
                <w:color w:val="000000"/>
                <w:kern w:val="0"/>
                <w:sz w:val="21"/>
                <w:szCs w:val="21"/>
                <w:lang w:eastAsia="zh-CN"/>
              </w:rPr>
            </w:pPr>
            <w:r>
              <w:rPr>
                <w:rFonts w:hint="eastAsia" w:ascii="仿宋" w:hAnsi="仿宋" w:eastAsia="仿宋" w:cs="仿宋"/>
                <w:snapToGrid w:val="0"/>
                <w:color w:val="000000"/>
                <w:kern w:val="0"/>
                <w:sz w:val="21"/>
                <w:szCs w:val="21"/>
                <w:lang w:eastAsia="zh-CN"/>
              </w:rPr>
              <w:t>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质量指标</w:t>
            </w:r>
          </w:p>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在职人员控制率</w:t>
            </w:r>
          </w:p>
        </w:tc>
        <w:tc>
          <w:tcPr>
            <w:tcW w:w="2780" w:type="dxa"/>
            <w:vAlign w:val="center"/>
          </w:tcPr>
          <w:p>
            <w:pPr>
              <w:jc w:val="center"/>
              <w:rPr>
                <w:rFonts w:hint="default"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公用经费控制率</w:t>
            </w:r>
          </w:p>
        </w:tc>
        <w:tc>
          <w:tcPr>
            <w:tcW w:w="2780" w:type="dxa"/>
            <w:vAlign w:val="center"/>
          </w:tcPr>
          <w:p>
            <w:pPr>
              <w:jc w:val="center"/>
              <w:rPr>
                <w:rFonts w:hint="default"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岗位津贴覆盖率</w:t>
            </w:r>
          </w:p>
        </w:tc>
        <w:tc>
          <w:tcPr>
            <w:tcW w:w="2780" w:type="dxa"/>
            <w:vAlign w:val="center"/>
          </w:tcPr>
          <w:p>
            <w:pPr>
              <w:jc w:val="center"/>
              <w:rPr>
                <w:rFonts w:hint="default"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成本指标</w:t>
            </w:r>
          </w:p>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人员经费控制额</w:t>
            </w:r>
          </w:p>
        </w:tc>
        <w:tc>
          <w:tcPr>
            <w:tcW w:w="2780" w:type="dxa"/>
            <w:vAlign w:val="center"/>
          </w:tcPr>
          <w:p>
            <w:pPr>
              <w:jc w:val="center"/>
              <w:rPr>
                <w:rFonts w:hint="default"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≤750.31万元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公用经费控制额</w:t>
            </w:r>
          </w:p>
        </w:tc>
        <w:tc>
          <w:tcPr>
            <w:tcW w:w="2780" w:type="dxa"/>
            <w:vAlign w:val="center"/>
          </w:tcPr>
          <w:p>
            <w:pPr>
              <w:jc w:val="center"/>
              <w:rPr>
                <w:rFonts w:hint="default"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≤143.75万元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时效指标</w:t>
            </w:r>
          </w:p>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本单位财政供养人员</w:t>
            </w:r>
          </w:p>
        </w:tc>
        <w:tc>
          <w:tcPr>
            <w:tcW w:w="2780" w:type="dxa"/>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年度内及时完成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sz w:val="21"/>
                <w:szCs w:val="21"/>
              </w:rPr>
              <w:t>完成单位职责及上级交办的各项任务时限</w:t>
            </w:r>
          </w:p>
        </w:tc>
        <w:tc>
          <w:tcPr>
            <w:tcW w:w="2780" w:type="dxa"/>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年度内及时完成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1406" w:type="dxa"/>
            <w:vMerge w:val="restart"/>
            <w:vAlign w:val="center"/>
          </w:tcPr>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效益指标</w:t>
            </w:r>
          </w:p>
          <w:p>
            <w:pPr>
              <w:widowControl/>
              <w:jc w:val="center"/>
              <w:rPr>
                <w:rFonts w:hint="eastAsia" w:ascii="仿宋" w:hAnsi="仿宋" w:eastAsia="仿宋" w:cs="仿宋"/>
                <w:b/>
                <w:bCs/>
                <w:kern w:val="0"/>
                <w:sz w:val="21"/>
                <w:szCs w:val="21"/>
                <w:lang w:val="en-US" w:eastAsia="zh-CN"/>
              </w:rPr>
            </w:pP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经济效益指标</w:t>
            </w:r>
          </w:p>
        </w:tc>
        <w:tc>
          <w:tcPr>
            <w:tcW w:w="1740" w:type="dxa"/>
            <w:gridSpan w:val="2"/>
            <w:vAlign w:val="center"/>
          </w:tcPr>
          <w:p>
            <w:pPr>
              <w:jc w:val="center"/>
              <w:rPr>
                <w:rFonts w:hint="default"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w:t>
            </w:r>
          </w:p>
        </w:tc>
        <w:tc>
          <w:tcPr>
            <w:tcW w:w="2780" w:type="dxa"/>
            <w:vAlign w:val="center"/>
          </w:tcPr>
          <w:p>
            <w:pPr>
              <w:jc w:val="center"/>
              <w:rPr>
                <w:rFonts w:hint="default"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lang w:val="en-US" w:eastAsia="zh-CN"/>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jc w:val="center"/>
              <w:rPr>
                <w:rFonts w:hint="default"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w:t>
            </w:r>
          </w:p>
        </w:tc>
        <w:tc>
          <w:tcPr>
            <w:tcW w:w="2780" w:type="dxa"/>
            <w:vAlign w:val="center"/>
          </w:tcPr>
          <w:p>
            <w:pPr>
              <w:jc w:val="center"/>
              <w:rPr>
                <w:rFonts w:hint="default"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lang w:val="en-US" w:eastAsia="zh-CN"/>
              </w:rPr>
            </w:pPr>
          </w:p>
        </w:tc>
        <w:tc>
          <w:tcPr>
            <w:tcW w:w="1755" w:type="dxa"/>
            <w:vMerge w:val="restart"/>
            <w:vAlign w:val="center"/>
          </w:tcPr>
          <w:p>
            <w:pPr>
              <w:jc w:val="center"/>
              <w:rPr>
                <w:rFonts w:hint="eastAsia" w:ascii="仿宋" w:hAnsi="仿宋" w:eastAsia="仿宋" w:cs="仿宋"/>
                <w:kern w:val="0"/>
                <w:sz w:val="21"/>
                <w:szCs w:val="21"/>
              </w:rPr>
            </w:pPr>
            <w:r>
              <w:rPr>
                <w:rFonts w:hint="eastAsia" w:ascii="仿宋" w:hAnsi="仿宋" w:eastAsia="仿宋" w:cs="仿宋"/>
                <w:kern w:val="0"/>
                <w:sz w:val="21"/>
                <w:szCs w:val="21"/>
              </w:rPr>
              <w:t>社会效益指标</w:t>
            </w:r>
          </w:p>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提供就业岗位</w:t>
            </w:r>
          </w:p>
        </w:tc>
        <w:tc>
          <w:tcPr>
            <w:tcW w:w="2780" w:type="dxa"/>
            <w:vAlign w:val="center"/>
          </w:tcPr>
          <w:p>
            <w:pPr>
              <w:jc w:val="center"/>
              <w:rPr>
                <w:rFonts w:hint="default"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50个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lang w:val="en-US" w:eastAsia="zh-CN"/>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安全生产事故下降率</w:t>
            </w:r>
          </w:p>
        </w:tc>
        <w:tc>
          <w:tcPr>
            <w:tcW w:w="2780" w:type="dxa"/>
            <w:vAlign w:val="center"/>
          </w:tcPr>
          <w:p>
            <w:pPr>
              <w:jc w:val="center"/>
              <w:rPr>
                <w:rFonts w:hint="default"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eastAsia="zh-CN"/>
              </w:rPr>
              <w:t>≥</w:t>
            </w:r>
            <w:r>
              <w:rPr>
                <w:rFonts w:hint="eastAsia" w:ascii="仿宋" w:hAnsi="仿宋" w:eastAsia="仿宋" w:cs="仿宋"/>
                <w:snapToGrid w:val="0"/>
                <w:color w:val="000000"/>
                <w:kern w:val="0"/>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lang w:val="en-US" w:eastAsia="zh-CN"/>
              </w:rPr>
            </w:pP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生态效益指标</w:t>
            </w:r>
          </w:p>
        </w:tc>
        <w:tc>
          <w:tcPr>
            <w:tcW w:w="1740"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w:t>
            </w:r>
          </w:p>
        </w:tc>
        <w:tc>
          <w:tcPr>
            <w:tcW w:w="2780" w:type="dxa"/>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761" w:type="dxa"/>
            <w:vMerge w:val="continue"/>
          </w:tcPr>
          <w:p>
            <w:pPr>
              <w:widowControl/>
              <w:jc w:val="left"/>
              <w:rPr>
                <w:rFonts w:hint="eastAsia" w:ascii="仿宋" w:hAnsi="仿宋" w:eastAsia="仿宋" w:cs="仿宋"/>
                <w:kern w:val="0"/>
                <w:sz w:val="21"/>
                <w:szCs w:val="21"/>
              </w:rPr>
            </w:pPr>
          </w:p>
        </w:tc>
        <w:tc>
          <w:tcPr>
            <w:tcW w:w="1406" w:type="dxa"/>
            <w:vMerge w:val="continue"/>
          </w:tcPr>
          <w:p>
            <w:pPr>
              <w:widowControl/>
              <w:jc w:val="center"/>
              <w:rPr>
                <w:rFonts w:hint="eastAsia" w:ascii="仿宋" w:hAnsi="仿宋" w:eastAsia="仿宋" w:cs="仿宋"/>
                <w:b/>
                <w:bCs/>
                <w:kern w:val="0"/>
                <w:sz w:val="21"/>
                <w:szCs w:val="21"/>
                <w:lang w:val="en-US" w:eastAsia="zh-CN"/>
              </w:rPr>
            </w:pPr>
          </w:p>
        </w:tc>
        <w:tc>
          <w:tcPr>
            <w:tcW w:w="1755" w:type="dxa"/>
            <w:vMerge w:val="continue"/>
          </w:tcPr>
          <w:p>
            <w:pPr>
              <w:jc w:val="center"/>
              <w:rPr>
                <w:rFonts w:hint="eastAsia" w:ascii="仿宋" w:hAnsi="仿宋" w:eastAsia="仿宋" w:cs="仿宋"/>
                <w:kern w:val="0"/>
                <w:sz w:val="21"/>
                <w:szCs w:val="21"/>
              </w:rPr>
            </w:pPr>
          </w:p>
        </w:tc>
        <w:tc>
          <w:tcPr>
            <w:tcW w:w="0" w:type="auto"/>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w:t>
            </w:r>
          </w:p>
        </w:tc>
        <w:tc>
          <w:tcPr>
            <w:tcW w:w="0" w:type="auto"/>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761" w:type="dxa"/>
            <w:vMerge w:val="continue"/>
          </w:tcPr>
          <w:p>
            <w:pPr>
              <w:widowControl/>
              <w:jc w:val="left"/>
              <w:rPr>
                <w:rFonts w:hint="eastAsia" w:ascii="仿宋" w:hAnsi="仿宋" w:eastAsia="仿宋" w:cs="仿宋"/>
                <w:kern w:val="0"/>
                <w:sz w:val="21"/>
                <w:szCs w:val="21"/>
              </w:rPr>
            </w:pPr>
          </w:p>
        </w:tc>
        <w:tc>
          <w:tcPr>
            <w:tcW w:w="1406" w:type="dxa"/>
            <w:vMerge w:val="continue"/>
          </w:tcPr>
          <w:p>
            <w:pPr>
              <w:widowControl/>
              <w:jc w:val="center"/>
              <w:rPr>
                <w:rFonts w:hint="eastAsia" w:ascii="仿宋" w:hAnsi="仿宋" w:eastAsia="仿宋" w:cs="仿宋"/>
                <w:b/>
                <w:bCs/>
                <w:kern w:val="0"/>
                <w:sz w:val="21"/>
                <w:szCs w:val="21"/>
                <w:lang w:val="en-US" w:eastAsia="zh-CN"/>
              </w:rPr>
            </w:pPr>
          </w:p>
        </w:tc>
        <w:tc>
          <w:tcPr>
            <w:tcW w:w="1755"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可持续影响指标</w:t>
            </w:r>
          </w:p>
        </w:tc>
        <w:tc>
          <w:tcPr>
            <w:tcW w:w="0" w:type="auto"/>
            <w:gridSpan w:val="2"/>
            <w:vAlign w:val="center"/>
          </w:tcPr>
          <w:p>
            <w:pPr>
              <w:jc w:val="center"/>
              <w:rPr>
                <w:rFonts w:hint="eastAsia" w:ascii="仿宋" w:hAnsi="仿宋" w:eastAsia="仿宋" w:cs="仿宋"/>
                <w:snapToGrid w:val="0"/>
                <w:color w:val="000000"/>
                <w:kern w:val="0"/>
                <w:sz w:val="21"/>
                <w:szCs w:val="21"/>
                <w:lang w:eastAsia="zh-CN"/>
              </w:rPr>
            </w:pPr>
            <w:r>
              <w:rPr>
                <w:rFonts w:hint="eastAsia" w:ascii="仿宋" w:hAnsi="仿宋" w:eastAsia="仿宋" w:cs="仿宋"/>
                <w:snapToGrid w:val="0"/>
                <w:color w:val="000000"/>
                <w:kern w:val="0"/>
                <w:sz w:val="21"/>
                <w:szCs w:val="21"/>
                <w:lang w:eastAsia="zh-CN"/>
              </w:rPr>
              <w:t>稳定一支高素质应急救援队伍</w:t>
            </w:r>
          </w:p>
        </w:tc>
        <w:tc>
          <w:tcPr>
            <w:tcW w:w="0" w:type="auto"/>
            <w:vAlign w:val="center"/>
          </w:tcPr>
          <w:p>
            <w:pPr>
              <w:jc w:val="center"/>
              <w:rPr>
                <w:rFonts w:hint="default"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eastAsia="zh-CN"/>
              </w:rPr>
              <w:t>≥</w:t>
            </w:r>
            <w:r>
              <w:rPr>
                <w:rFonts w:hint="eastAsia" w:ascii="仿宋" w:hAnsi="仿宋" w:eastAsia="仿宋" w:cs="仿宋"/>
                <w:snapToGrid w:val="0"/>
                <w:color w:val="000000"/>
                <w:kern w:val="0"/>
                <w:sz w:val="21"/>
                <w:szCs w:val="21"/>
                <w:lang w:val="en-US" w:eastAsia="zh-CN"/>
              </w:rPr>
              <w:t>40人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761" w:type="dxa"/>
            <w:vMerge w:val="continue"/>
          </w:tcPr>
          <w:p>
            <w:pPr>
              <w:widowControl/>
              <w:jc w:val="left"/>
              <w:rPr>
                <w:rFonts w:hint="eastAsia" w:ascii="仿宋" w:hAnsi="仿宋" w:eastAsia="仿宋" w:cs="仿宋"/>
                <w:kern w:val="0"/>
                <w:sz w:val="21"/>
                <w:szCs w:val="21"/>
              </w:rPr>
            </w:pPr>
          </w:p>
        </w:tc>
        <w:tc>
          <w:tcPr>
            <w:tcW w:w="1406" w:type="dxa"/>
          </w:tcPr>
          <w:p>
            <w:pPr>
              <w:widowControl/>
              <w:jc w:val="center"/>
              <w:rPr>
                <w:rFonts w:hint="eastAsia" w:ascii="仿宋" w:hAnsi="仿宋" w:eastAsia="仿宋" w:cs="仿宋"/>
                <w:b/>
                <w:bCs/>
                <w:kern w:val="0"/>
                <w:sz w:val="21"/>
                <w:szCs w:val="21"/>
                <w:lang w:val="en-US" w:eastAsia="zh-CN"/>
              </w:rPr>
            </w:pPr>
          </w:p>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满意度</w:t>
            </w:r>
          </w:p>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指标</w:t>
            </w:r>
          </w:p>
        </w:tc>
        <w:tc>
          <w:tcPr>
            <w:tcW w:w="1755"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社会公众或服务对象满意度</w:t>
            </w:r>
          </w:p>
        </w:tc>
        <w:tc>
          <w:tcPr>
            <w:tcW w:w="0" w:type="auto"/>
            <w:gridSpan w:val="2"/>
            <w:vAlign w:val="center"/>
          </w:tcPr>
          <w:p>
            <w:pPr>
              <w:jc w:val="center"/>
              <w:rPr>
                <w:rFonts w:hint="eastAsia" w:ascii="仿宋" w:hAnsi="仿宋" w:eastAsia="仿宋" w:cs="仿宋"/>
                <w:snapToGrid w:val="0"/>
                <w:color w:val="000000"/>
                <w:kern w:val="0"/>
                <w:sz w:val="21"/>
                <w:szCs w:val="21"/>
                <w:lang w:eastAsia="zh-CN"/>
              </w:rPr>
            </w:pPr>
            <w:r>
              <w:rPr>
                <w:rFonts w:hint="eastAsia" w:ascii="仿宋" w:hAnsi="仿宋" w:eastAsia="仿宋" w:cs="仿宋"/>
                <w:snapToGrid w:val="0"/>
                <w:color w:val="000000"/>
                <w:kern w:val="0"/>
                <w:sz w:val="21"/>
                <w:szCs w:val="21"/>
                <w:lang w:eastAsia="zh-CN"/>
              </w:rPr>
              <w:t>群众满意度</w:t>
            </w:r>
          </w:p>
        </w:tc>
        <w:tc>
          <w:tcPr>
            <w:tcW w:w="0" w:type="auto"/>
            <w:vAlign w:val="center"/>
          </w:tcPr>
          <w:p>
            <w:pPr>
              <w:jc w:val="center"/>
              <w:rPr>
                <w:rFonts w:hint="default"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eastAsia="zh-CN"/>
              </w:rPr>
              <w:t>≥</w:t>
            </w:r>
            <w:r>
              <w:rPr>
                <w:rFonts w:hint="eastAsia" w:ascii="仿宋" w:hAnsi="仿宋" w:eastAsia="仿宋" w:cs="仿宋"/>
                <w:snapToGrid w:val="0"/>
                <w:color w:val="000000"/>
                <w:kern w:val="0"/>
                <w:sz w:val="21"/>
                <w:szCs w:val="21"/>
                <w:lang w:val="en-US" w:eastAsia="zh-CN"/>
              </w:rPr>
              <w:t>95%</w:t>
            </w:r>
          </w:p>
        </w:tc>
      </w:tr>
    </w:tbl>
    <w:p>
      <w:pPr>
        <w:widowControl/>
        <w:tabs>
          <w:tab w:val="left" w:pos="2593"/>
        </w:tabs>
        <w:jc w:val="left"/>
        <w:rPr>
          <w:rFonts w:hint="eastAsia" w:ascii="仿宋" w:hAnsi="仿宋" w:eastAsia="仿宋" w:cs="仿宋"/>
          <w:b/>
          <w:bCs/>
          <w:kern w:val="0"/>
          <w:sz w:val="21"/>
          <w:szCs w:val="21"/>
        </w:rPr>
      </w:pPr>
    </w:p>
    <w:p>
      <w:pPr>
        <w:widowControl/>
        <w:tabs>
          <w:tab w:val="left" w:pos="1333"/>
          <w:tab w:val="left" w:pos="3793"/>
          <w:tab w:val="left" w:pos="5853"/>
        </w:tabs>
        <w:ind w:firstLine="422" w:firstLineChars="200"/>
        <w:jc w:val="left"/>
        <w:rPr>
          <w:rFonts w:hint="eastAsia" w:ascii="仿宋" w:hAnsi="仿宋" w:eastAsia="仿宋" w:cs="仿宋"/>
          <w:sz w:val="32"/>
          <w:szCs w:val="32"/>
          <w:lang w:val="en-US" w:eastAsia="zh-CN"/>
        </w:rPr>
      </w:pPr>
      <w:r>
        <w:rPr>
          <w:rFonts w:hint="eastAsia" w:ascii="仿宋" w:hAnsi="仿宋" w:eastAsia="仿宋" w:cs="仿宋"/>
          <w:b/>
          <w:bCs/>
          <w:kern w:val="0"/>
          <w:sz w:val="21"/>
          <w:szCs w:val="21"/>
        </w:rPr>
        <w:t xml:space="preserve">填表人： </w:t>
      </w:r>
      <w:r>
        <w:rPr>
          <w:rFonts w:hint="eastAsia" w:ascii="仿宋" w:hAnsi="仿宋" w:eastAsia="仿宋" w:cs="仿宋"/>
          <w:b/>
          <w:bCs/>
          <w:kern w:val="0"/>
          <w:sz w:val="21"/>
          <w:szCs w:val="21"/>
          <w:lang w:eastAsia="zh-CN"/>
        </w:rPr>
        <w:t>旷晓乐</w:t>
      </w:r>
      <w:r>
        <w:rPr>
          <w:rFonts w:hint="eastAsia" w:ascii="仿宋" w:hAnsi="仿宋" w:eastAsia="仿宋" w:cs="仿宋"/>
          <w:b/>
          <w:bCs/>
          <w:kern w:val="0"/>
          <w:sz w:val="21"/>
          <w:szCs w:val="21"/>
        </w:rPr>
        <w:t xml:space="preserve">     </w:t>
      </w:r>
      <w:r>
        <w:rPr>
          <w:rFonts w:hint="eastAsia" w:ascii="仿宋" w:hAnsi="仿宋" w:eastAsia="仿宋" w:cs="仿宋"/>
          <w:b/>
          <w:bCs/>
          <w:kern w:val="0"/>
          <w:sz w:val="21"/>
          <w:szCs w:val="21"/>
          <w:lang w:val="en-US" w:eastAsia="zh-CN"/>
        </w:rPr>
        <w:t xml:space="preserve">    </w:t>
      </w:r>
      <w:r>
        <w:rPr>
          <w:rFonts w:hint="eastAsia" w:ascii="仿宋" w:hAnsi="仿宋" w:eastAsia="仿宋" w:cs="仿宋"/>
          <w:b/>
          <w:bCs/>
          <w:kern w:val="0"/>
          <w:sz w:val="21"/>
          <w:szCs w:val="21"/>
        </w:rPr>
        <w:t>联系电话：</w:t>
      </w:r>
      <w:r>
        <w:rPr>
          <w:rFonts w:hint="eastAsia" w:ascii="仿宋" w:hAnsi="仿宋" w:eastAsia="仿宋" w:cs="仿宋"/>
          <w:b/>
          <w:bCs/>
          <w:kern w:val="0"/>
          <w:sz w:val="21"/>
          <w:szCs w:val="21"/>
          <w:lang w:val="en-US" w:eastAsia="zh-CN"/>
        </w:rPr>
        <w:t>15973415706</w:t>
      </w:r>
      <w:r>
        <w:rPr>
          <w:rFonts w:hint="eastAsia" w:ascii="仿宋" w:hAnsi="仿宋" w:eastAsia="仿宋" w:cs="仿宋"/>
          <w:b/>
          <w:bCs/>
          <w:kern w:val="0"/>
          <w:sz w:val="21"/>
          <w:szCs w:val="21"/>
        </w:rPr>
        <w:t xml:space="preserve">        </w:t>
      </w:r>
      <w:r>
        <w:rPr>
          <w:rFonts w:hint="eastAsia" w:ascii="仿宋" w:hAnsi="仿宋" w:eastAsia="仿宋" w:cs="仿宋"/>
          <w:b/>
          <w:bCs/>
          <w:kern w:val="0"/>
          <w:sz w:val="21"/>
          <w:szCs w:val="21"/>
          <w:lang w:val="en-US" w:eastAsia="zh-CN"/>
        </w:rPr>
        <w:t xml:space="preserve">  </w:t>
      </w:r>
      <w:r>
        <w:rPr>
          <w:rFonts w:hint="eastAsia" w:ascii="仿宋" w:hAnsi="仿宋" w:eastAsia="仿宋" w:cs="仿宋"/>
          <w:b/>
          <w:bCs/>
          <w:kern w:val="0"/>
          <w:sz w:val="21"/>
          <w:szCs w:val="21"/>
        </w:rPr>
        <w:t>单位负责人签字</w:t>
      </w:r>
      <w:r>
        <w:rPr>
          <w:rFonts w:hint="eastAsia" w:ascii="仿宋" w:hAnsi="仿宋" w:eastAsia="仿宋" w:cs="仿宋"/>
          <w:b/>
          <w:bCs/>
          <w:kern w:val="0"/>
          <w:sz w:val="21"/>
          <w:szCs w:val="21"/>
          <w:lang w:eastAsia="zh-CN"/>
        </w:rPr>
        <w:t>：胡国粒</w:t>
      </w:r>
      <w:bookmarkStart w:id="0" w:name="_GoBack"/>
      <w:bookmarkEnd w:id="0"/>
    </w:p>
    <w:p/>
    <w:sectPr>
      <w:footerReference r:id="rId5" w:type="default"/>
      <w:pgSz w:w="12190" w:h="17030"/>
      <w:pgMar w:top="1447" w:right="1701" w:bottom="400" w:left="170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0ZjNkMTE3YjRkNzE3ZTE2ODE1OTUxZmFmZTVjYjgifQ=="/>
  </w:docVars>
  <w:rsids>
    <w:rsidRoot w:val="77F37B20"/>
    <w:rsid w:val="02F05A75"/>
    <w:rsid w:val="06400020"/>
    <w:rsid w:val="07041C81"/>
    <w:rsid w:val="0BB772BD"/>
    <w:rsid w:val="13C718AF"/>
    <w:rsid w:val="179C5922"/>
    <w:rsid w:val="1F1A6FC1"/>
    <w:rsid w:val="2BED5333"/>
    <w:rsid w:val="2C1300E8"/>
    <w:rsid w:val="2C7D1F40"/>
    <w:rsid w:val="2CD637F5"/>
    <w:rsid w:val="3391388D"/>
    <w:rsid w:val="3C0E6083"/>
    <w:rsid w:val="425E48CA"/>
    <w:rsid w:val="48E54635"/>
    <w:rsid w:val="4A647310"/>
    <w:rsid w:val="4D047AEC"/>
    <w:rsid w:val="4DDC2384"/>
    <w:rsid w:val="52052A88"/>
    <w:rsid w:val="57993556"/>
    <w:rsid w:val="5E657E6E"/>
    <w:rsid w:val="66EB050D"/>
    <w:rsid w:val="6B8974A3"/>
    <w:rsid w:val="71777CD5"/>
    <w:rsid w:val="748B3A5A"/>
    <w:rsid w:val="76B61368"/>
    <w:rsid w:val="77F37B20"/>
    <w:rsid w:val="78986F77"/>
    <w:rsid w:val="79667D5C"/>
    <w:rsid w:val="7C054A40"/>
    <w:rsid w:val="7D1C4A14"/>
    <w:rsid w:val="7E27531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ind w:firstLine="668" w:firstLineChars="200"/>
    </w:pPr>
    <w:rPr>
      <w:rFonts w:eastAsia="方正仿宋简体"/>
      <w:sz w:val="3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1830</Words>
  <Characters>1888</Characters>
  <Lines>0</Lines>
  <Paragraphs>0</Paragraphs>
  <TotalTime>3</TotalTime>
  <ScaleCrop>false</ScaleCrop>
  <LinksUpToDate>false</LinksUpToDate>
  <CharactersWithSpaces>1981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2020-07-23T02:27:00Z</dcterms:created>
  <dc:creator>Administrator</dc:creator>
  <cp:lastModifiedBy>卯个人</cp:lastModifiedBy>
  <dcterms:modified xsi:type="dcterms:W3CDTF">2023-04-21T07:09:42Z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D021544B57764A2AAC4EE65CD63A2774</vt:lpwstr>
  </property>
</Properties>
</file>