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FBD88">
      <w:pPr>
        <w:spacing w:before="240" w:after="240"/>
        <w:ind w:left="-141" w:leftChars="-67" w:firstLine="141" w:firstLineChars="35"/>
        <w:jc w:val="center"/>
        <w:rPr>
          <w:rFonts w:ascii="黑体" w:hAnsi="黑体" w:eastAsia="黑体" w:cs="黑体"/>
          <w:b/>
          <w:spacing w:val="-20"/>
          <w:sz w:val="44"/>
          <w:szCs w:val="44"/>
        </w:rPr>
      </w:pPr>
    </w:p>
    <w:p w14:paraId="0DBCE000">
      <w:pPr>
        <w:spacing w:before="240" w:after="240"/>
        <w:ind w:left="-141" w:leftChars="-67" w:firstLine="141" w:firstLineChars="35"/>
        <w:jc w:val="center"/>
        <w:rPr>
          <w:rFonts w:ascii="黑体" w:hAnsi="黑体" w:eastAsia="黑体" w:cs="黑体"/>
          <w:b/>
          <w:spacing w:val="-20"/>
          <w:sz w:val="44"/>
          <w:szCs w:val="44"/>
        </w:rPr>
      </w:pPr>
      <w:r>
        <w:rPr>
          <w:rFonts w:hint="eastAsia" w:ascii="黑体" w:hAnsi="黑体" w:eastAsia="黑体" w:cs="黑体"/>
          <w:b/>
          <w:spacing w:val="-20"/>
          <w:sz w:val="44"/>
          <w:szCs w:val="44"/>
        </w:rPr>
        <w:t>2023年度部门整体支出预算绩效目标申报表</w:t>
      </w:r>
    </w:p>
    <w:p w14:paraId="18AB40B7">
      <w:pPr>
        <w:tabs>
          <w:tab w:val="left" w:pos="2593"/>
        </w:tabs>
        <w:rPr>
          <w:rFonts w:ascii="仿宋_GB2312" w:eastAsia="仿宋_GB2312"/>
          <w:b/>
          <w:bCs/>
        </w:rPr>
      </w:pPr>
      <w:r>
        <w:rPr>
          <w:rFonts w:hint="eastAsia" w:ascii="仿宋_GB2312" w:eastAsia="仿宋_GB2312"/>
          <w:b/>
          <w:bCs/>
          <w:sz w:val="24"/>
        </w:rPr>
        <w:t>填报单位：（盖章）</w:t>
      </w:r>
      <w:r>
        <w:rPr>
          <w:rFonts w:hint="eastAsia" w:ascii="仿宋_GB2312" w:eastAsia="仿宋_GB2312"/>
          <w:b/>
          <w:bCs/>
        </w:rPr>
        <w:tab/>
      </w:r>
      <w:r>
        <w:rPr>
          <w:rFonts w:hint="eastAsia" w:ascii="仿宋_GB2312" w:eastAsia="仿宋_GB2312"/>
          <w:b/>
          <w:bCs/>
        </w:rPr>
        <w:t xml:space="preserve">                                        单位：万元       </w:t>
      </w:r>
    </w:p>
    <w:tbl>
      <w:tblPr>
        <w:tblStyle w:val="6"/>
        <w:tblpPr w:leftFromText="180" w:rightFromText="180" w:vertAnchor="page" w:horzAnchor="margin" w:tblpY="2896"/>
        <w:tblOverlap w:val="never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1406"/>
        <w:gridCol w:w="1755"/>
        <w:gridCol w:w="779"/>
        <w:gridCol w:w="1710"/>
        <w:gridCol w:w="1843"/>
      </w:tblGrid>
      <w:tr w14:paraId="58C8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71" w:type="dxa"/>
            <w:vAlign w:val="center"/>
          </w:tcPr>
          <w:p w14:paraId="513E7508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部门名称</w:t>
            </w:r>
          </w:p>
        </w:tc>
        <w:tc>
          <w:tcPr>
            <w:tcW w:w="7493" w:type="dxa"/>
            <w:gridSpan w:val="5"/>
            <w:vAlign w:val="center"/>
          </w:tcPr>
          <w:p w14:paraId="56E6D502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default" w:ascii="仿宋" w:hAnsi="仿宋" w:eastAsia="仿宋" w:cs="仿宋"/>
              </w:rPr>
              <w:t>湖南衡东经济开发区管理委员会</w:t>
            </w:r>
          </w:p>
          <w:p w14:paraId="2C5AFBA0">
            <w:pPr>
              <w:jc w:val="center"/>
              <w:rPr>
                <w:rFonts w:ascii="仿宋" w:hAnsi="仿宋" w:eastAsia="仿宋" w:cs="仿宋"/>
              </w:rPr>
            </w:pPr>
          </w:p>
        </w:tc>
      </w:tr>
      <w:tr w14:paraId="502A1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971" w:type="dxa"/>
            <w:vMerge w:val="restart"/>
            <w:vAlign w:val="center"/>
          </w:tcPr>
          <w:p w14:paraId="332E0B65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</w:rPr>
              <w:t>（万元）</w:t>
            </w:r>
          </w:p>
        </w:tc>
        <w:tc>
          <w:tcPr>
            <w:tcW w:w="7493" w:type="dxa"/>
            <w:gridSpan w:val="5"/>
            <w:vAlign w:val="center"/>
          </w:tcPr>
          <w:p w14:paraId="0AB1E8E4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991.4</w:t>
            </w:r>
            <w:r>
              <w:rPr>
                <w:rFonts w:hint="eastAsia" w:ascii="仿宋" w:hAnsi="仿宋" w:eastAsia="仿宋" w:cs="仿宋"/>
                <w:b/>
                <w:bCs/>
              </w:rPr>
              <w:t>万元</w:t>
            </w:r>
          </w:p>
        </w:tc>
      </w:tr>
      <w:tr w14:paraId="00A7A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71" w:type="dxa"/>
            <w:vMerge w:val="continue"/>
            <w:vAlign w:val="center"/>
          </w:tcPr>
          <w:p w14:paraId="279FE828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5DAA9212">
            <w:pPr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按收入性质分：</w:t>
            </w:r>
          </w:p>
        </w:tc>
        <w:tc>
          <w:tcPr>
            <w:tcW w:w="3553" w:type="dxa"/>
            <w:gridSpan w:val="2"/>
            <w:vAlign w:val="center"/>
          </w:tcPr>
          <w:p w14:paraId="0D3E80EB">
            <w:pPr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按支出性质分：</w:t>
            </w:r>
          </w:p>
        </w:tc>
      </w:tr>
      <w:tr w14:paraId="56A10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71" w:type="dxa"/>
            <w:vMerge w:val="continue"/>
            <w:vAlign w:val="center"/>
          </w:tcPr>
          <w:p w14:paraId="4A402D95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635C6AD6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其中： 一般公共预算：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991.4</w:t>
            </w:r>
            <w:r>
              <w:rPr>
                <w:rFonts w:hint="eastAsia" w:ascii="仿宋" w:hAnsi="仿宋" w:eastAsia="仿宋" w:cs="仿宋"/>
              </w:rPr>
              <w:t>万元</w:t>
            </w:r>
          </w:p>
        </w:tc>
        <w:tc>
          <w:tcPr>
            <w:tcW w:w="3553" w:type="dxa"/>
            <w:gridSpan w:val="2"/>
            <w:vAlign w:val="center"/>
          </w:tcPr>
          <w:p w14:paraId="159398F2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其中： 基本支出：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404.4</w:t>
            </w:r>
            <w:r>
              <w:rPr>
                <w:rFonts w:hint="eastAsia" w:ascii="仿宋" w:hAnsi="仿宋" w:eastAsia="仿宋" w:cs="仿宋"/>
              </w:rPr>
              <w:t>万元</w:t>
            </w:r>
          </w:p>
        </w:tc>
      </w:tr>
      <w:tr w14:paraId="71973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71" w:type="dxa"/>
            <w:vMerge w:val="continue"/>
            <w:vAlign w:val="center"/>
          </w:tcPr>
          <w:p w14:paraId="7BB42157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52970E60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政府性基金拨款：</w:t>
            </w:r>
          </w:p>
        </w:tc>
        <w:tc>
          <w:tcPr>
            <w:tcW w:w="3553" w:type="dxa"/>
            <w:gridSpan w:val="2"/>
            <w:vAlign w:val="center"/>
          </w:tcPr>
          <w:p w14:paraId="225CEFEE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587</w:t>
            </w:r>
            <w:r>
              <w:rPr>
                <w:rFonts w:hint="eastAsia" w:ascii="仿宋" w:hAnsi="仿宋" w:eastAsia="仿宋" w:cs="仿宋"/>
              </w:rPr>
              <w:t>万元</w:t>
            </w:r>
          </w:p>
        </w:tc>
      </w:tr>
      <w:tr w14:paraId="422E3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971" w:type="dxa"/>
            <w:vMerge w:val="continue"/>
            <w:vAlign w:val="center"/>
          </w:tcPr>
          <w:p w14:paraId="7B933FD8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6419D225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纳入专户管理的非税收入拨款：</w:t>
            </w:r>
          </w:p>
        </w:tc>
        <w:tc>
          <w:tcPr>
            <w:tcW w:w="3553" w:type="dxa"/>
            <w:gridSpan w:val="2"/>
            <w:vAlign w:val="center"/>
          </w:tcPr>
          <w:p w14:paraId="78C91C2C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</w:t>
            </w:r>
          </w:p>
        </w:tc>
      </w:tr>
      <w:tr w14:paraId="1B445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71" w:type="dxa"/>
            <w:vMerge w:val="continue"/>
            <w:vAlign w:val="center"/>
          </w:tcPr>
          <w:p w14:paraId="778CE7AD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7035D4E6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其他资金：</w:t>
            </w:r>
          </w:p>
        </w:tc>
        <w:tc>
          <w:tcPr>
            <w:tcW w:w="3553" w:type="dxa"/>
            <w:gridSpan w:val="2"/>
            <w:vAlign w:val="center"/>
          </w:tcPr>
          <w:p w14:paraId="08984EB1">
            <w:pPr>
              <w:rPr>
                <w:rFonts w:ascii="仿宋" w:hAnsi="仿宋" w:eastAsia="仿宋" w:cs="仿宋"/>
              </w:rPr>
            </w:pPr>
          </w:p>
        </w:tc>
      </w:tr>
      <w:tr w14:paraId="5B033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71" w:type="dxa"/>
            <w:vAlign w:val="center"/>
          </w:tcPr>
          <w:p w14:paraId="03736A7F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部门职能</w:t>
            </w:r>
          </w:p>
          <w:p w14:paraId="06088F64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职责概述</w:t>
            </w:r>
          </w:p>
        </w:tc>
        <w:tc>
          <w:tcPr>
            <w:tcW w:w="7493" w:type="dxa"/>
            <w:gridSpan w:val="5"/>
            <w:vAlign w:val="center"/>
          </w:tcPr>
          <w:p w14:paraId="6F7F3643">
            <w:pPr>
              <w:rPr>
                <w:rFonts w:hint="eastAsia" w:ascii="仿宋" w:hAnsi="仿宋" w:eastAsia="仿宋" w:cs="Arial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sz w:val="18"/>
                <w:szCs w:val="18"/>
                <w:lang w:val="en-US" w:eastAsia="zh-CN"/>
              </w:rPr>
              <w:t>1、贯彻执行党和国家有关经济开发区的方针、政策，组织实施国家相关法律、执行上级党委、政府的政策、决议，依法拟定开发区的行政管理规章。</w:t>
            </w:r>
            <w:r>
              <w:rPr>
                <w:rFonts w:hint="default" w:ascii="仿宋" w:hAnsi="仿宋" w:eastAsia="仿宋" w:cs="Arial"/>
                <w:sz w:val="18"/>
                <w:szCs w:val="18"/>
                <w:lang w:val="en-US" w:eastAsia="zh-CN"/>
              </w:rPr>
              <w:t> </w:t>
            </w:r>
          </w:p>
          <w:p w14:paraId="2B9CA76D">
            <w:pPr>
              <w:rPr>
                <w:rFonts w:hint="default" w:ascii="仿宋" w:hAnsi="仿宋" w:eastAsia="仿宋" w:cs="Arial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sz w:val="18"/>
                <w:szCs w:val="18"/>
                <w:lang w:val="en-US" w:eastAsia="zh-CN"/>
              </w:rPr>
              <w:t>2、根据全县经济社会发展总体规划，编制、审批和管理经济开发区规划，经县委、县政府批准后组织实施。</w:t>
            </w:r>
            <w:r>
              <w:rPr>
                <w:rFonts w:hint="default" w:ascii="仿宋" w:hAnsi="仿宋" w:eastAsia="仿宋" w:cs="Arial"/>
                <w:sz w:val="18"/>
                <w:szCs w:val="18"/>
                <w:lang w:val="en-US" w:eastAsia="zh-CN"/>
              </w:rPr>
              <w:t> </w:t>
            </w:r>
          </w:p>
          <w:p w14:paraId="5E631996">
            <w:pPr>
              <w:rPr>
                <w:rFonts w:hint="default" w:ascii="仿宋" w:hAnsi="仿宋" w:eastAsia="仿宋" w:cs="Arial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sz w:val="18"/>
                <w:szCs w:val="18"/>
                <w:lang w:val="en-US" w:eastAsia="zh-CN"/>
              </w:rPr>
              <w:t>3、负责经济开发区的党建、宣传、群团工作。</w:t>
            </w:r>
            <w:r>
              <w:rPr>
                <w:rFonts w:hint="default" w:ascii="仿宋" w:hAnsi="仿宋" w:eastAsia="仿宋" w:cs="Arial"/>
                <w:sz w:val="18"/>
                <w:szCs w:val="18"/>
                <w:lang w:val="en-US" w:eastAsia="zh-CN"/>
              </w:rPr>
              <w:t> </w:t>
            </w:r>
          </w:p>
          <w:p w14:paraId="33CCBA71">
            <w:pPr>
              <w:rPr>
                <w:rFonts w:hint="default" w:ascii="仿宋" w:hAnsi="仿宋" w:eastAsia="仿宋" w:cs="Arial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sz w:val="18"/>
                <w:szCs w:val="18"/>
                <w:lang w:val="en-US" w:eastAsia="zh-CN"/>
              </w:rPr>
              <w:t>4、创建便捷高效的招商引资服务机制，审核和审批区内的企业和投资项目，为入区企业代办相关手续。</w:t>
            </w:r>
            <w:r>
              <w:rPr>
                <w:rFonts w:hint="default" w:ascii="仿宋" w:hAnsi="仿宋" w:eastAsia="仿宋" w:cs="Arial"/>
                <w:sz w:val="18"/>
                <w:szCs w:val="18"/>
                <w:lang w:val="en-US" w:eastAsia="zh-CN"/>
              </w:rPr>
              <w:t> </w:t>
            </w:r>
            <w:bookmarkStart w:id="0" w:name="_GoBack"/>
          </w:p>
          <w:bookmarkEnd w:id="0"/>
          <w:p w14:paraId="2C6F59FD">
            <w:pPr>
              <w:rPr>
                <w:rFonts w:hint="default" w:ascii="仿宋" w:hAnsi="仿宋" w:eastAsia="仿宋" w:cs="Arial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sz w:val="18"/>
                <w:szCs w:val="18"/>
                <w:lang w:val="en-US" w:eastAsia="zh-CN"/>
              </w:rPr>
              <w:t>5、统筹管理和使用经济开发区的各项经济利益。</w:t>
            </w:r>
            <w:r>
              <w:rPr>
                <w:rFonts w:hint="default" w:ascii="仿宋" w:hAnsi="仿宋" w:eastAsia="仿宋" w:cs="Arial"/>
                <w:sz w:val="18"/>
                <w:szCs w:val="18"/>
                <w:lang w:val="en-US" w:eastAsia="zh-CN"/>
              </w:rPr>
              <w:t> </w:t>
            </w:r>
          </w:p>
          <w:p w14:paraId="7BA9D447">
            <w:pPr>
              <w:rPr>
                <w:rFonts w:hint="default" w:ascii="仿宋" w:hAnsi="仿宋" w:eastAsia="仿宋" w:cs="Arial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sz w:val="18"/>
                <w:szCs w:val="18"/>
                <w:lang w:val="en-US" w:eastAsia="zh-CN"/>
              </w:rPr>
              <w:t>6、依法实施开发区环境保护，搞好环境污染综合治理，建设环境友好型经济开发区。</w:t>
            </w:r>
            <w:r>
              <w:rPr>
                <w:rFonts w:hint="default" w:ascii="仿宋" w:hAnsi="仿宋" w:eastAsia="仿宋" w:cs="Arial"/>
                <w:sz w:val="18"/>
                <w:szCs w:val="18"/>
                <w:lang w:val="en-US" w:eastAsia="zh-CN"/>
              </w:rPr>
              <w:t> </w:t>
            </w:r>
          </w:p>
          <w:p w14:paraId="49EFF533">
            <w:pPr>
              <w:rPr>
                <w:rFonts w:hint="default" w:ascii="仿宋" w:hAnsi="仿宋" w:eastAsia="仿宋" w:cs="Arial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sz w:val="18"/>
                <w:szCs w:val="18"/>
                <w:lang w:val="en-US" w:eastAsia="zh-CN"/>
              </w:rPr>
              <w:t>7、依法整顿开发区社会治安，维护开发区良好社会和经济秩序，积极创建平安和谐经济开发区。</w:t>
            </w:r>
            <w:r>
              <w:rPr>
                <w:rFonts w:hint="default" w:ascii="仿宋" w:hAnsi="仿宋" w:eastAsia="仿宋" w:cs="Arial"/>
                <w:sz w:val="18"/>
                <w:szCs w:val="18"/>
                <w:lang w:val="en-US" w:eastAsia="zh-CN"/>
              </w:rPr>
              <w:t> </w:t>
            </w:r>
          </w:p>
          <w:p w14:paraId="31ACAD42">
            <w:pPr>
              <w:rPr>
                <w:rFonts w:hint="default" w:ascii="仿宋" w:hAnsi="仿宋" w:eastAsia="仿宋" w:cs="Arial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sz w:val="18"/>
                <w:szCs w:val="18"/>
                <w:lang w:val="en-US" w:eastAsia="zh-CN"/>
              </w:rPr>
              <w:t>8、监督县直相关职能部门对经济开发区的职能授权到位；统一管理相关部门派驻开发区的机构和人员的工作。</w:t>
            </w:r>
            <w:r>
              <w:rPr>
                <w:rFonts w:hint="default" w:ascii="仿宋" w:hAnsi="仿宋" w:eastAsia="仿宋" w:cs="Arial"/>
                <w:sz w:val="18"/>
                <w:szCs w:val="18"/>
                <w:lang w:val="en-US" w:eastAsia="zh-CN"/>
              </w:rPr>
              <w:t> </w:t>
            </w:r>
          </w:p>
          <w:p w14:paraId="24F242C9"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 w14:paraId="17BCF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71" w:type="dxa"/>
            <w:vAlign w:val="center"/>
          </w:tcPr>
          <w:p w14:paraId="47A51D71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整体绩效目标</w:t>
            </w:r>
          </w:p>
        </w:tc>
        <w:tc>
          <w:tcPr>
            <w:tcW w:w="7493" w:type="dxa"/>
            <w:gridSpan w:val="5"/>
            <w:vAlign w:val="center"/>
          </w:tcPr>
          <w:p w14:paraId="3247B4F4"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目标1：通过预算执行，保证正常工作运转。</w:t>
            </w:r>
          </w:p>
        </w:tc>
      </w:tr>
      <w:tr w14:paraId="28346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71" w:type="dxa"/>
            <w:vMerge w:val="restart"/>
            <w:vAlign w:val="center"/>
          </w:tcPr>
          <w:p w14:paraId="0DD02C09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部门整体支出</w:t>
            </w:r>
          </w:p>
          <w:p w14:paraId="2C053D73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年度绩效指标</w:t>
            </w:r>
          </w:p>
        </w:tc>
        <w:tc>
          <w:tcPr>
            <w:tcW w:w="1406" w:type="dxa"/>
            <w:vAlign w:val="center"/>
          </w:tcPr>
          <w:p w14:paraId="18366D83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一级指标</w:t>
            </w:r>
          </w:p>
        </w:tc>
        <w:tc>
          <w:tcPr>
            <w:tcW w:w="1755" w:type="dxa"/>
            <w:vAlign w:val="center"/>
          </w:tcPr>
          <w:p w14:paraId="4F5CD4E0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二级指标</w:t>
            </w:r>
          </w:p>
        </w:tc>
        <w:tc>
          <w:tcPr>
            <w:tcW w:w="2489" w:type="dxa"/>
            <w:gridSpan w:val="2"/>
            <w:vAlign w:val="center"/>
          </w:tcPr>
          <w:p w14:paraId="09C8B0BB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三级指标</w:t>
            </w:r>
          </w:p>
        </w:tc>
        <w:tc>
          <w:tcPr>
            <w:tcW w:w="1843" w:type="dxa"/>
            <w:vAlign w:val="center"/>
          </w:tcPr>
          <w:p w14:paraId="5EFCFD00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指标值及单位</w:t>
            </w:r>
          </w:p>
        </w:tc>
      </w:tr>
      <w:tr w14:paraId="5C396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71" w:type="dxa"/>
            <w:vMerge w:val="continue"/>
            <w:vAlign w:val="center"/>
          </w:tcPr>
          <w:p w14:paraId="3187D143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restart"/>
            <w:vAlign w:val="center"/>
          </w:tcPr>
          <w:p w14:paraId="76303CC2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 w14:paraId="7BEE43C1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数量指标</w:t>
            </w:r>
          </w:p>
          <w:p w14:paraId="31104671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0B2F0165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单位履职运转</w:t>
            </w:r>
          </w:p>
        </w:tc>
        <w:tc>
          <w:tcPr>
            <w:tcW w:w="1843" w:type="dxa"/>
            <w:vAlign w:val="center"/>
          </w:tcPr>
          <w:p w14:paraId="61F733E0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予以保障</w:t>
            </w:r>
          </w:p>
        </w:tc>
      </w:tr>
      <w:tr w14:paraId="3D13A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971" w:type="dxa"/>
            <w:vMerge w:val="continue"/>
            <w:vAlign w:val="center"/>
          </w:tcPr>
          <w:p w14:paraId="4BB11A71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14646905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continue"/>
            <w:vAlign w:val="center"/>
          </w:tcPr>
          <w:p w14:paraId="192862D8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1E725691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财政资金全额供养人员</w:t>
            </w:r>
          </w:p>
        </w:tc>
        <w:tc>
          <w:tcPr>
            <w:tcW w:w="1843" w:type="dxa"/>
            <w:vAlign w:val="center"/>
          </w:tcPr>
          <w:p w14:paraId="48EB9DA8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36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人</w:t>
            </w:r>
          </w:p>
        </w:tc>
      </w:tr>
      <w:tr w14:paraId="209AE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71" w:type="dxa"/>
            <w:vMerge w:val="continue"/>
            <w:vAlign w:val="center"/>
          </w:tcPr>
          <w:p w14:paraId="14D16553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03B49AC6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 w14:paraId="4FB69EBA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质量指标</w:t>
            </w:r>
          </w:p>
          <w:p w14:paraId="3E4C2FDD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7442669B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在职人员控制率</w:t>
            </w:r>
          </w:p>
        </w:tc>
        <w:tc>
          <w:tcPr>
            <w:tcW w:w="1843" w:type="dxa"/>
            <w:vAlign w:val="center"/>
          </w:tcPr>
          <w:p w14:paraId="4B9A5A95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≤100%</w:t>
            </w:r>
          </w:p>
        </w:tc>
      </w:tr>
      <w:tr w14:paraId="4E147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971" w:type="dxa"/>
            <w:vMerge w:val="continue"/>
            <w:vAlign w:val="center"/>
          </w:tcPr>
          <w:p w14:paraId="1B5C3366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5A354929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continue"/>
            <w:vAlign w:val="center"/>
          </w:tcPr>
          <w:p w14:paraId="415DCBDC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7C02A787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公用经费控制率</w:t>
            </w:r>
          </w:p>
        </w:tc>
        <w:tc>
          <w:tcPr>
            <w:tcW w:w="1843" w:type="dxa"/>
            <w:vAlign w:val="center"/>
          </w:tcPr>
          <w:p w14:paraId="2FF1C2AD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≤100%</w:t>
            </w:r>
          </w:p>
        </w:tc>
      </w:tr>
      <w:tr w14:paraId="71F5C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71" w:type="dxa"/>
            <w:vMerge w:val="continue"/>
            <w:vAlign w:val="center"/>
          </w:tcPr>
          <w:p w14:paraId="384C7DBD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59611E19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 w14:paraId="3E99D15D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成本指标</w:t>
            </w:r>
          </w:p>
          <w:p w14:paraId="7BFE59C9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0D8E7A37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基本支出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控制额</w:t>
            </w:r>
          </w:p>
        </w:tc>
        <w:tc>
          <w:tcPr>
            <w:tcW w:w="1843" w:type="dxa"/>
            <w:vAlign w:val="center"/>
          </w:tcPr>
          <w:p w14:paraId="56D89A7D">
            <w:pPr>
              <w:jc w:val="center"/>
              <w:rPr>
                <w:rFonts w:hint="default" w:ascii="仿宋" w:hAnsi="仿宋" w:eastAsia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404.4</w:t>
            </w:r>
          </w:p>
        </w:tc>
      </w:tr>
      <w:tr w14:paraId="6DA2C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71" w:type="dxa"/>
            <w:vMerge w:val="continue"/>
            <w:vAlign w:val="center"/>
          </w:tcPr>
          <w:p w14:paraId="4AD96D3B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24378262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continue"/>
            <w:vAlign w:val="center"/>
          </w:tcPr>
          <w:p w14:paraId="52345786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347A4119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控制额</w:t>
            </w:r>
          </w:p>
        </w:tc>
        <w:tc>
          <w:tcPr>
            <w:tcW w:w="1843" w:type="dxa"/>
            <w:vAlign w:val="center"/>
          </w:tcPr>
          <w:p w14:paraId="20F05989">
            <w:pPr>
              <w:jc w:val="center"/>
              <w:rPr>
                <w:rFonts w:hint="default" w:ascii="仿宋" w:hAnsi="仿宋" w:eastAsia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587</w:t>
            </w:r>
          </w:p>
        </w:tc>
      </w:tr>
      <w:tr w14:paraId="5E2DB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971" w:type="dxa"/>
            <w:vMerge w:val="continue"/>
            <w:vAlign w:val="center"/>
          </w:tcPr>
          <w:p w14:paraId="0A6F926A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6D26F62A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14:paraId="59E842EE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时效指标</w:t>
            </w:r>
          </w:p>
          <w:p w14:paraId="224F10E3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08BEB432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完成单位职责及县委、县政府交办的各项任务</w:t>
            </w:r>
          </w:p>
        </w:tc>
        <w:tc>
          <w:tcPr>
            <w:tcW w:w="1843" w:type="dxa"/>
            <w:vAlign w:val="center"/>
          </w:tcPr>
          <w:p w14:paraId="4AD69AE7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年度内及时完成</w:t>
            </w:r>
          </w:p>
        </w:tc>
      </w:tr>
      <w:tr w14:paraId="5E5EF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971" w:type="dxa"/>
            <w:vMerge w:val="continue"/>
          </w:tcPr>
          <w:p w14:paraId="5732A518">
            <w:pPr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</w:tcPr>
          <w:p w14:paraId="6EDBEEC8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满意度</w:t>
            </w:r>
          </w:p>
          <w:p w14:paraId="4AB89524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指标</w:t>
            </w:r>
          </w:p>
        </w:tc>
        <w:tc>
          <w:tcPr>
            <w:tcW w:w="1755" w:type="dxa"/>
            <w:vAlign w:val="center"/>
          </w:tcPr>
          <w:p w14:paraId="3B4602DB"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社会公众或服务对象满意度</w:t>
            </w:r>
          </w:p>
        </w:tc>
        <w:tc>
          <w:tcPr>
            <w:tcW w:w="2489" w:type="dxa"/>
            <w:gridSpan w:val="2"/>
            <w:vAlign w:val="center"/>
          </w:tcPr>
          <w:p w14:paraId="240DA480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服务对象满意度</w:t>
            </w:r>
          </w:p>
        </w:tc>
        <w:tc>
          <w:tcPr>
            <w:tcW w:w="1843" w:type="dxa"/>
            <w:vAlign w:val="center"/>
          </w:tcPr>
          <w:p w14:paraId="1BDB135F"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≥90%</w:t>
            </w:r>
          </w:p>
        </w:tc>
      </w:tr>
    </w:tbl>
    <w:p w14:paraId="22E95CCC">
      <w:pPr>
        <w:tabs>
          <w:tab w:val="left" w:pos="1333"/>
          <w:tab w:val="left" w:pos="3793"/>
          <w:tab w:val="left" w:pos="5853"/>
        </w:tabs>
        <w:rPr>
          <w:rFonts w:ascii="仿宋" w:hAnsi="仿宋" w:eastAsia="仿宋" w:cs="仿宋"/>
          <w:b/>
          <w:bCs/>
        </w:rPr>
      </w:pPr>
    </w:p>
    <w:p w14:paraId="5810CF69">
      <w:pPr>
        <w:tabs>
          <w:tab w:val="left" w:pos="1333"/>
          <w:tab w:val="left" w:pos="3793"/>
          <w:tab w:val="left" w:pos="5853"/>
        </w:tabs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</w:rPr>
        <w:t>填表人：                联系电话：                     单位负责人签字：</w:t>
      </w:r>
    </w:p>
    <w:sectPr>
      <w:footerReference r:id="rId3" w:type="default"/>
      <w:pgSz w:w="12190" w:h="17030"/>
      <w:pgMar w:top="567" w:right="1701" w:bottom="1423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2954F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77F37B20"/>
    <w:rsid w:val="00035FC4"/>
    <w:rsid w:val="000C0355"/>
    <w:rsid w:val="000D6601"/>
    <w:rsid w:val="00193005"/>
    <w:rsid w:val="002C4E14"/>
    <w:rsid w:val="002E44E9"/>
    <w:rsid w:val="003148B8"/>
    <w:rsid w:val="00325130"/>
    <w:rsid w:val="004434A0"/>
    <w:rsid w:val="0058066A"/>
    <w:rsid w:val="00683AE9"/>
    <w:rsid w:val="006F7353"/>
    <w:rsid w:val="00735633"/>
    <w:rsid w:val="00771EA5"/>
    <w:rsid w:val="008E2BBD"/>
    <w:rsid w:val="0094265F"/>
    <w:rsid w:val="009C08D8"/>
    <w:rsid w:val="00A37BFC"/>
    <w:rsid w:val="00AF6EB5"/>
    <w:rsid w:val="00B2267D"/>
    <w:rsid w:val="00BA7993"/>
    <w:rsid w:val="00BD4968"/>
    <w:rsid w:val="00BF605D"/>
    <w:rsid w:val="00C47E91"/>
    <w:rsid w:val="00D9227F"/>
    <w:rsid w:val="00E40209"/>
    <w:rsid w:val="00EA6F18"/>
    <w:rsid w:val="00F1763A"/>
    <w:rsid w:val="00FE573B"/>
    <w:rsid w:val="02F05A75"/>
    <w:rsid w:val="2BED5333"/>
    <w:rsid w:val="2C7D1F40"/>
    <w:rsid w:val="2CD637F5"/>
    <w:rsid w:val="30A410FF"/>
    <w:rsid w:val="3391388D"/>
    <w:rsid w:val="3C0E6083"/>
    <w:rsid w:val="425E48CA"/>
    <w:rsid w:val="48E54635"/>
    <w:rsid w:val="4D047AEC"/>
    <w:rsid w:val="52052A88"/>
    <w:rsid w:val="57993556"/>
    <w:rsid w:val="77F37B20"/>
    <w:rsid w:val="79667D5C"/>
    <w:rsid w:val="7C05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470</Words>
  <Characters>504</Characters>
  <Lines>5</Lines>
  <Paragraphs>1</Paragraphs>
  <TotalTime>4</TotalTime>
  <ScaleCrop>false</ScaleCrop>
  <LinksUpToDate>false</LinksUpToDate>
  <CharactersWithSpaces>620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WPS_1563496432</cp:lastModifiedBy>
  <cp:lastPrinted>2023-03-31T02:25:00Z</cp:lastPrinted>
  <dcterms:modified xsi:type="dcterms:W3CDTF">2024-09-06T10:16:14Z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80C03C2DFADC4303A38A16FCBBE015DD_13</vt:lpwstr>
  </property>
</Properties>
</file>