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38665F">
      <w:pPr>
        <w:rPr>
          <w:rFonts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附件1：</w:t>
      </w:r>
    </w:p>
    <w:p w14:paraId="1810D6BE"/>
    <w:p w14:paraId="395092ED">
      <w:pPr>
        <w:spacing w:before="240" w:after="240"/>
        <w:jc w:val="center"/>
        <w:rPr>
          <w:rFonts w:ascii="黑体" w:hAnsi="黑体" w:eastAsia="黑体" w:cs="黑体"/>
          <w:b/>
          <w:spacing w:val="-20"/>
          <w:sz w:val="44"/>
          <w:szCs w:val="44"/>
        </w:rPr>
      </w:pPr>
      <w:r>
        <w:rPr>
          <w:rFonts w:hint="eastAsia" w:ascii="黑体" w:hAnsi="黑体" w:eastAsia="黑体" w:cs="黑体"/>
          <w:b/>
          <w:spacing w:val="-20"/>
          <w:sz w:val="44"/>
          <w:szCs w:val="44"/>
        </w:rPr>
        <w:t>2023年度部门整体支出预算绩效目标申报表</w:t>
      </w:r>
    </w:p>
    <w:p w14:paraId="57630021">
      <w:pPr>
        <w:tabs>
          <w:tab w:val="left" w:pos="2593"/>
        </w:tabs>
        <w:rPr>
          <w:rFonts w:ascii="仿宋_GB2312" w:eastAsia="仿宋_GB2312"/>
          <w:b/>
          <w:bCs/>
        </w:rPr>
      </w:pPr>
      <w:r>
        <w:rPr>
          <w:rFonts w:hint="eastAsia" w:ascii="仿宋_GB2312" w:eastAsia="仿宋_GB2312"/>
          <w:b/>
          <w:bCs/>
          <w:sz w:val="24"/>
        </w:rPr>
        <w:t>填报单位：（盖章）</w:t>
      </w:r>
      <w:r>
        <w:rPr>
          <w:rFonts w:hint="eastAsia" w:ascii="仿宋_GB2312" w:eastAsia="仿宋_GB2312"/>
          <w:b/>
          <w:bCs/>
        </w:rPr>
        <w:tab/>
      </w:r>
      <w:r>
        <w:rPr>
          <w:rFonts w:hint="eastAsia" w:ascii="仿宋_GB2312" w:eastAsia="仿宋_GB2312"/>
          <w:b/>
          <w:bCs/>
        </w:rPr>
        <w:t xml:space="preserve">                                        单位：万元        </w:t>
      </w:r>
    </w:p>
    <w:tbl>
      <w:tblPr>
        <w:tblStyle w:val="7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 w14:paraId="16947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 w14:paraId="5DB57338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 w14:paraId="780CAD79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衡东县中医医院</w:t>
            </w:r>
          </w:p>
        </w:tc>
      </w:tr>
      <w:tr w14:paraId="4A06E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 w14:paraId="71693D7F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 w14:paraId="4010D4B0"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资金总额：8063.88</w:t>
            </w:r>
          </w:p>
        </w:tc>
      </w:tr>
      <w:tr w14:paraId="3FBD1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761" w:type="dxa"/>
            <w:vMerge w:val="continue"/>
            <w:vAlign w:val="center"/>
          </w:tcPr>
          <w:p w14:paraId="1D075AE0">
            <w:pPr>
              <w:rPr>
                <w:rFonts w:ascii="仿宋" w:hAnsi="仿宋" w:eastAsia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14:paraId="623C6562">
            <w:pPr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 w14:paraId="1410016C">
            <w:pPr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按支出性质分：</w:t>
            </w:r>
          </w:p>
        </w:tc>
      </w:tr>
      <w:tr w14:paraId="708DC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 w14:paraId="642350D6">
            <w:pPr>
              <w:rPr>
                <w:rFonts w:ascii="仿宋" w:hAnsi="仿宋" w:eastAsia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14:paraId="44114DAA">
            <w:pPr>
              <w:rPr>
                <w:rFonts w:ascii="仿宋" w:hAnsi="仿宋" w:cs="仿宋" w:eastAsiaTheme="minorEastAsia"/>
              </w:rPr>
            </w:pPr>
            <w:r>
              <w:rPr>
                <w:rFonts w:hint="eastAsia" w:ascii="仿宋" w:hAnsi="仿宋" w:eastAsia="仿宋" w:cs="仿宋"/>
              </w:rPr>
              <w:t>其中： 一般公共预算：</w:t>
            </w:r>
            <w:r>
              <w:rPr>
                <w:rFonts w:hint="eastAsia" w:eastAsiaTheme="minorEastAsia"/>
                <w:sz w:val="18"/>
                <w:szCs w:val="18"/>
              </w:rPr>
              <w:t>165</w:t>
            </w:r>
          </w:p>
        </w:tc>
        <w:tc>
          <w:tcPr>
            <w:tcW w:w="3741" w:type="dxa"/>
            <w:gridSpan w:val="2"/>
            <w:vAlign w:val="center"/>
          </w:tcPr>
          <w:p w14:paraId="42306193"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其中： 基本支出：65</w:t>
            </w:r>
          </w:p>
        </w:tc>
      </w:tr>
      <w:tr w14:paraId="53A35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 w14:paraId="017B17EC">
            <w:pPr>
              <w:rPr>
                <w:rFonts w:ascii="仿宋" w:hAnsi="仿宋" w:eastAsia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14:paraId="4B33A371"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政府性基金拨款：0</w:t>
            </w:r>
          </w:p>
        </w:tc>
        <w:tc>
          <w:tcPr>
            <w:tcW w:w="3741" w:type="dxa"/>
            <w:gridSpan w:val="2"/>
            <w:vAlign w:val="center"/>
          </w:tcPr>
          <w:p w14:paraId="5BDF149C"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项目支出：100</w:t>
            </w:r>
          </w:p>
        </w:tc>
      </w:tr>
      <w:tr w14:paraId="43D7A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 w14:paraId="1DB9A57C">
            <w:pPr>
              <w:rPr>
                <w:rFonts w:ascii="仿宋" w:hAnsi="仿宋" w:eastAsia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14:paraId="749A0CEF">
            <w:pPr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7898.88</w:t>
            </w:r>
          </w:p>
        </w:tc>
        <w:tc>
          <w:tcPr>
            <w:tcW w:w="3741" w:type="dxa"/>
            <w:gridSpan w:val="2"/>
            <w:vAlign w:val="center"/>
          </w:tcPr>
          <w:p w14:paraId="46DD232F"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</w:t>
            </w:r>
            <w:bookmarkStart w:id="0" w:name="_GoBack"/>
            <w:bookmarkEnd w:id="0"/>
          </w:p>
        </w:tc>
      </w:tr>
      <w:tr w14:paraId="1F993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 w14:paraId="352F693A">
            <w:pPr>
              <w:rPr>
                <w:rFonts w:ascii="仿宋" w:hAnsi="仿宋" w:eastAsia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14:paraId="30FD1142">
            <w:pPr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 w14:paraId="35F5110E">
            <w:pPr>
              <w:rPr>
                <w:rFonts w:ascii="仿宋" w:hAnsi="仿宋" w:eastAsia="仿宋" w:cs="仿宋"/>
              </w:rPr>
            </w:pPr>
          </w:p>
        </w:tc>
      </w:tr>
      <w:tr w14:paraId="23646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 w14:paraId="678737B5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部门职能</w:t>
            </w:r>
          </w:p>
          <w:p w14:paraId="350F494B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 w14:paraId="52F1B3A2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1.为人民群众提供中西医医疗、预防、保健、康复等医疗卫生服务。</w:t>
            </w:r>
          </w:p>
          <w:p w14:paraId="6766F31B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2.承担意外灾害事故、疫情等突发公共卫生事件的医疗急救，开展各种医疗保健卫生知识宣传普及。</w:t>
            </w:r>
          </w:p>
          <w:p w14:paraId="497CFBB8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</w:rPr>
              <w:t>3.承担县委、县政府及县卫健局交办的其他卫生工作。</w:t>
            </w:r>
          </w:p>
        </w:tc>
      </w:tr>
      <w:tr w14:paraId="1E74E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61" w:type="dxa"/>
            <w:vAlign w:val="center"/>
          </w:tcPr>
          <w:p w14:paraId="41A7DD24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 w14:paraId="19E94A8D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目标</w:t>
            </w:r>
            <w:r>
              <w:rPr>
                <w:rFonts w:ascii="仿宋" w:hAnsi="仿宋" w:eastAsia="仿宋" w:cs="仿宋"/>
              </w:rPr>
              <w:t>1</w:t>
            </w:r>
            <w:r>
              <w:rPr>
                <w:rFonts w:hint="eastAsia" w:ascii="仿宋" w:hAnsi="仿宋" w:eastAsia="仿宋" w:cs="仿宋"/>
              </w:rPr>
              <w:t>：通过预算执行，保证正常工作运转。</w:t>
            </w:r>
          </w:p>
          <w:p w14:paraId="64A1995D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目标</w:t>
            </w:r>
            <w:r>
              <w:rPr>
                <w:rFonts w:ascii="仿宋" w:hAnsi="仿宋" w:eastAsia="仿宋" w:cs="仿宋"/>
              </w:rPr>
              <w:t>2</w:t>
            </w:r>
            <w:r>
              <w:rPr>
                <w:rFonts w:hint="eastAsia" w:ascii="仿宋" w:hAnsi="仿宋" w:eastAsia="仿宋" w:cs="仿宋"/>
              </w:rPr>
              <w:t>：发挥中医诊疗特色，立足重点专科，持续提升核心竞争力，积极开展医联体建设，进一步提升服务质量。</w:t>
            </w:r>
          </w:p>
          <w:p w14:paraId="74573FBD">
            <w:pPr>
              <w:pStyle w:val="2"/>
              <w:ind w:left="0" w:leftChars="0" w:firstLine="0" w:firstLineChars="0"/>
              <w:rPr>
                <w:rFonts w:hint="default" w:eastAsia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1"/>
                <w:szCs w:val="21"/>
                <w:lang w:val="en-US" w:eastAsia="zh-CN" w:bidi="ar-SA"/>
              </w:rPr>
              <w:t>目标3：按照搬迁计划，合理安排采购进度，为河西新院顺利搬迁提供有力保障。</w:t>
            </w:r>
          </w:p>
        </w:tc>
      </w:tr>
      <w:tr w14:paraId="366C2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 w14:paraId="57CAA74E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部门整体支出</w:t>
            </w:r>
          </w:p>
          <w:p w14:paraId="08336BB5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年度绩效指标</w:t>
            </w:r>
          </w:p>
        </w:tc>
        <w:tc>
          <w:tcPr>
            <w:tcW w:w="1406" w:type="dxa"/>
            <w:vAlign w:val="center"/>
          </w:tcPr>
          <w:p w14:paraId="5E90C7DD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一级指标</w:t>
            </w:r>
          </w:p>
        </w:tc>
        <w:tc>
          <w:tcPr>
            <w:tcW w:w="1755" w:type="dxa"/>
            <w:vAlign w:val="center"/>
          </w:tcPr>
          <w:p w14:paraId="79C56196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 w14:paraId="573708F3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三级指标</w:t>
            </w:r>
          </w:p>
        </w:tc>
        <w:tc>
          <w:tcPr>
            <w:tcW w:w="2780" w:type="dxa"/>
            <w:vAlign w:val="center"/>
          </w:tcPr>
          <w:p w14:paraId="086C7408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指标值及单位</w:t>
            </w:r>
          </w:p>
        </w:tc>
      </w:tr>
      <w:tr w14:paraId="2250C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 w14:paraId="61068DC2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restart"/>
            <w:vAlign w:val="center"/>
          </w:tcPr>
          <w:p w14:paraId="44F4242D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 w14:paraId="324C79D2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数量指标</w:t>
            </w:r>
          </w:p>
          <w:p w14:paraId="7C0C6903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14:paraId="683893BA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开放床位数</w:t>
            </w:r>
          </w:p>
        </w:tc>
        <w:tc>
          <w:tcPr>
            <w:tcW w:w="2780" w:type="dxa"/>
            <w:vAlign w:val="center"/>
          </w:tcPr>
          <w:p w14:paraId="56813684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340张</w:t>
            </w:r>
          </w:p>
        </w:tc>
      </w:tr>
      <w:tr w14:paraId="44DE6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 w14:paraId="3FEC0F69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76AB1B55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Merge w:val="continue"/>
            <w:vAlign w:val="center"/>
          </w:tcPr>
          <w:p w14:paraId="4FF18C25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14:paraId="2D89E655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诊疗服务人次</w:t>
            </w:r>
          </w:p>
        </w:tc>
        <w:tc>
          <w:tcPr>
            <w:tcW w:w="2780" w:type="dxa"/>
            <w:vAlign w:val="center"/>
          </w:tcPr>
          <w:p w14:paraId="2B70AD1D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≥10万人次</w:t>
            </w:r>
          </w:p>
        </w:tc>
      </w:tr>
      <w:tr w14:paraId="33F59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 w14:paraId="5B48EE14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3967C5D3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Align w:val="center"/>
          </w:tcPr>
          <w:p w14:paraId="1413B076">
            <w:pPr>
              <w:jc w:val="center"/>
              <w:rPr>
                <w:rFonts w:ascii="仿宋" w:hAnsi="仿宋" w:eastAsia="仿宋" w:cs="仿宋"/>
              </w:rPr>
            </w:pPr>
          </w:p>
          <w:p w14:paraId="72B8A7D9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质量指标</w:t>
            </w:r>
          </w:p>
          <w:p w14:paraId="3FBFD4A3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14:paraId="1E18F4F7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医疗收费标准规范执行率</w:t>
            </w:r>
          </w:p>
        </w:tc>
        <w:tc>
          <w:tcPr>
            <w:tcW w:w="2780" w:type="dxa"/>
            <w:vAlign w:val="center"/>
          </w:tcPr>
          <w:p w14:paraId="4FE46CB7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100%</w:t>
            </w:r>
          </w:p>
        </w:tc>
      </w:tr>
      <w:tr w14:paraId="2F82C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 w14:paraId="2AFAE033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7BB1CAEE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Align w:val="center"/>
          </w:tcPr>
          <w:p w14:paraId="1AFBE246">
            <w:pPr>
              <w:jc w:val="center"/>
              <w:rPr>
                <w:rFonts w:ascii="仿宋" w:hAnsi="仿宋" w:eastAsia="仿宋" w:cs="仿宋"/>
              </w:rPr>
            </w:pPr>
          </w:p>
          <w:p w14:paraId="5968EB63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成本指标</w:t>
            </w:r>
          </w:p>
          <w:p w14:paraId="2814BC36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14:paraId="25F6F539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人员经费</w:t>
            </w:r>
          </w:p>
        </w:tc>
        <w:tc>
          <w:tcPr>
            <w:tcW w:w="2780" w:type="dxa"/>
            <w:vAlign w:val="center"/>
          </w:tcPr>
          <w:p w14:paraId="295E54E7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65万元</w:t>
            </w:r>
          </w:p>
        </w:tc>
      </w:tr>
      <w:tr w14:paraId="4C870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 w14:paraId="0287475B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426DE53C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Merge w:val="restart"/>
            <w:vAlign w:val="center"/>
          </w:tcPr>
          <w:p w14:paraId="2180A884">
            <w:pPr>
              <w:jc w:val="center"/>
              <w:rPr>
                <w:rFonts w:ascii="仿宋" w:hAnsi="仿宋" w:eastAsia="仿宋" w:cs="仿宋"/>
              </w:rPr>
            </w:pPr>
          </w:p>
          <w:p w14:paraId="1562C68B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时效指标</w:t>
            </w:r>
          </w:p>
          <w:p w14:paraId="614A32CB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14:paraId="49C5CE88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经费周期</w:t>
            </w:r>
          </w:p>
        </w:tc>
        <w:tc>
          <w:tcPr>
            <w:tcW w:w="2780" w:type="dxa"/>
            <w:vAlign w:val="center"/>
          </w:tcPr>
          <w:p w14:paraId="49F26662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1</w:t>
            </w:r>
            <w:r>
              <w:rPr>
                <w:rFonts w:hint="eastAsia" w:ascii="仿宋" w:hAnsi="仿宋" w:eastAsia="仿宋" w:cs="仿宋"/>
              </w:rPr>
              <w:t>年</w:t>
            </w:r>
          </w:p>
        </w:tc>
      </w:tr>
      <w:tr w14:paraId="6DB2D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 w14:paraId="6F30872D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2FB2347B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Merge w:val="continue"/>
            <w:vAlign w:val="center"/>
          </w:tcPr>
          <w:p w14:paraId="0C426785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14:paraId="0B1B96E5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及时完成率</w:t>
            </w:r>
          </w:p>
        </w:tc>
        <w:tc>
          <w:tcPr>
            <w:tcW w:w="2780" w:type="dxa"/>
            <w:vAlign w:val="center"/>
          </w:tcPr>
          <w:p w14:paraId="3586288E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100%</w:t>
            </w:r>
          </w:p>
        </w:tc>
      </w:tr>
      <w:tr w14:paraId="4B90E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 w14:paraId="68754763">
            <w:pPr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restart"/>
            <w:vAlign w:val="center"/>
          </w:tcPr>
          <w:p w14:paraId="0EFC1106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效益指标</w:t>
            </w:r>
          </w:p>
          <w:p w14:paraId="4B42641F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Align w:val="center"/>
          </w:tcPr>
          <w:p w14:paraId="4AB73F3E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经济效益指标</w:t>
            </w:r>
          </w:p>
        </w:tc>
        <w:tc>
          <w:tcPr>
            <w:tcW w:w="1740" w:type="dxa"/>
            <w:gridSpan w:val="2"/>
            <w:vAlign w:val="center"/>
          </w:tcPr>
          <w:p w14:paraId="0A30F0EB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业务收入增长</w:t>
            </w:r>
          </w:p>
        </w:tc>
        <w:tc>
          <w:tcPr>
            <w:tcW w:w="2780" w:type="dxa"/>
            <w:vAlign w:val="center"/>
          </w:tcPr>
          <w:p w14:paraId="42057A5C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有所增长</w:t>
            </w:r>
          </w:p>
        </w:tc>
      </w:tr>
      <w:tr w14:paraId="72ED6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 w14:paraId="7BAD7039">
            <w:pPr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72BEBFDB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Align w:val="center"/>
          </w:tcPr>
          <w:p w14:paraId="46158C4B">
            <w:pPr>
              <w:jc w:val="center"/>
              <w:rPr>
                <w:rFonts w:ascii="仿宋" w:hAnsi="仿宋" w:eastAsia="仿宋" w:cs="仿宋"/>
              </w:rPr>
            </w:pPr>
          </w:p>
          <w:p w14:paraId="1D8540E8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社会效益指标</w:t>
            </w:r>
          </w:p>
          <w:p w14:paraId="2CD08F35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14:paraId="54ADC368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医疗服务水平</w:t>
            </w:r>
          </w:p>
        </w:tc>
        <w:tc>
          <w:tcPr>
            <w:tcW w:w="2780" w:type="dxa"/>
            <w:vAlign w:val="center"/>
          </w:tcPr>
          <w:p w14:paraId="58BFD294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稳步提高</w:t>
            </w:r>
          </w:p>
        </w:tc>
      </w:tr>
      <w:tr w14:paraId="715F2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761" w:type="dxa"/>
            <w:vMerge w:val="continue"/>
            <w:vAlign w:val="center"/>
          </w:tcPr>
          <w:p w14:paraId="014C904B">
            <w:pPr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5C0F4FFD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Align w:val="center"/>
          </w:tcPr>
          <w:p w14:paraId="6BB61360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生态效益指标</w:t>
            </w:r>
          </w:p>
        </w:tc>
        <w:tc>
          <w:tcPr>
            <w:tcW w:w="1740" w:type="dxa"/>
            <w:gridSpan w:val="2"/>
            <w:vAlign w:val="center"/>
          </w:tcPr>
          <w:p w14:paraId="4E22E992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医疗废弃物按标准排放</w:t>
            </w:r>
          </w:p>
        </w:tc>
        <w:tc>
          <w:tcPr>
            <w:tcW w:w="2780" w:type="dxa"/>
            <w:vAlign w:val="center"/>
          </w:tcPr>
          <w:p w14:paraId="7B097973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在容许的范围内</w:t>
            </w:r>
          </w:p>
        </w:tc>
      </w:tr>
      <w:tr w14:paraId="259AC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61" w:type="dxa"/>
            <w:vMerge w:val="continue"/>
          </w:tcPr>
          <w:p w14:paraId="36BBD1C8">
            <w:pPr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</w:tcPr>
          <w:p w14:paraId="0DAF5C73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Align w:val="center"/>
          </w:tcPr>
          <w:p w14:paraId="618DA571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可持续影响指标</w:t>
            </w:r>
          </w:p>
        </w:tc>
        <w:tc>
          <w:tcPr>
            <w:tcW w:w="1740" w:type="dxa"/>
            <w:gridSpan w:val="2"/>
            <w:vAlign w:val="center"/>
          </w:tcPr>
          <w:p w14:paraId="21224442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医院事业发展</w:t>
            </w:r>
          </w:p>
        </w:tc>
        <w:tc>
          <w:tcPr>
            <w:tcW w:w="2780" w:type="dxa"/>
            <w:vAlign w:val="center"/>
          </w:tcPr>
          <w:p w14:paraId="41BC16D3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持续健康</w:t>
            </w:r>
          </w:p>
        </w:tc>
      </w:tr>
      <w:tr w14:paraId="70FE2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 w14:paraId="65814EC9">
            <w:pPr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Align w:val="center"/>
          </w:tcPr>
          <w:p w14:paraId="21D04AE1">
            <w:pPr>
              <w:ind w:firstLine="211" w:firstLineChars="100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满意度</w:t>
            </w:r>
          </w:p>
          <w:p w14:paraId="0ABEE05D"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指标</w:t>
            </w:r>
          </w:p>
        </w:tc>
        <w:tc>
          <w:tcPr>
            <w:tcW w:w="1755" w:type="dxa"/>
            <w:vAlign w:val="center"/>
          </w:tcPr>
          <w:p w14:paraId="31455F4E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社会公众或服务对象满意度</w:t>
            </w:r>
          </w:p>
        </w:tc>
        <w:tc>
          <w:tcPr>
            <w:tcW w:w="1740" w:type="dxa"/>
            <w:gridSpan w:val="2"/>
            <w:vAlign w:val="center"/>
          </w:tcPr>
          <w:p w14:paraId="3908B538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患者满意度</w:t>
            </w:r>
          </w:p>
        </w:tc>
        <w:tc>
          <w:tcPr>
            <w:tcW w:w="2780" w:type="dxa"/>
            <w:vAlign w:val="center"/>
          </w:tcPr>
          <w:p w14:paraId="4073923B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≥90%</w:t>
            </w:r>
          </w:p>
        </w:tc>
      </w:tr>
    </w:tbl>
    <w:p w14:paraId="6F757765">
      <w:pPr>
        <w:tabs>
          <w:tab w:val="left" w:pos="2593"/>
        </w:tabs>
        <w:rPr>
          <w:rFonts w:ascii="仿宋" w:hAnsi="仿宋" w:eastAsia="仿宋" w:cs="仿宋"/>
          <w:b/>
          <w:bCs/>
        </w:rPr>
      </w:pPr>
    </w:p>
    <w:p w14:paraId="1FCBD8B0">
      <w:pPr>
        <w:tabs>
          <w:tab w:val="left" w:pos="1333"/>
          <w:tab w:val="left" w:pos="3793"/>
          <w:tab w:val="left" w:pos="5853"/>
        </w:tabs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</w:rPr>
        <w:t>填表人：阳一珠         联系电话： 17369385116         单位负责人签字：</w:t>
      </w:r>
    </w:p>
    <w:p w14:paraId="7A448858"/>
    <w:sectPr>
      <w:footerReference r:id="rId3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B825CB"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mOWIzZGM5ODM4YmY0MzA5OTE5MDhmYWMyY2YyZGEifQ=="/>
  </w:docVars>
  <w:rsids>
    <w:rsidRoot w:val="77F37B20"/>
    <w:rsid w:val="00027EC9"/>
    <w:rsid w:val="000B3449"/>
    <w:rsid w:val="000F5A8F"/>
    <w:rsid w:val="0011245D"/>
    <w:rsid w:val="0018434A"/>
    <w:rsid w:val="001B13BF"/>
    <w:rsid w:val="002324AC"/>
    <w:rsid w:val="002E5FE1"/>
    <w:rsid w:val="00352538"/>
    <w:rsid w:val="003B3CA9"/>
    <w:rsid w:val="003C697A"/>
    <w:rsid w:val="00405B40"/>
    <w:rsid w:val="00473576"/>
    <w:rsid w:val="00497964"/>
    <w:rsid w:val="0054294B"/>
    <w:rsid w:val="006176BC"/>
    <w:rsid w:val="006710D9"/>
    <w:rsid w:val="006754F8"/>
    <w:rsid w:val="00681DBF"/>
    <w:rsid w:val="007D1CE4"/>
    <w:rsid w:val="00852E7E"/>
    <w:rsid w:val="008F151E"/>
    <w:rsid w:val="00933C37"/>
    <w:rsid w:val="00983D08"/>
    <w:rsid w:val="00A16B67"/>
    <w:rsid w:val="00A3685B"/>
    <w:rsid w:val="00AD3FE5"/>
    <w:rsid w:val="00B376D6"/>
    <w:rsid w:val="00BC36D0"/>
    <w:rsid w:val="00C4752F"/>
    <w:rsid w:val="00C50D26"/>
    <w:rsid w:val="00D2511A"/>
    <w:rsid w:val="00D53DBA"/>
    <w:rsid w:val="00D71726"/>
    <w:rsid w:val="00EB18A2"/>
    <w:rsid w:val="00F05343"/>
    <w:rsid w:val="00F535A7"/>
    <w:rsid w:val="02F05A75"/>
    <w:rsid w:val="1BBE2F00"/>
    <w:rsid w:val="2BED5333"/>
    <w:rsid w:val="2C7D1F40"/>
    <w:rsid w:val="2CD637F5"/>
    <w:rsid w:val="3391388D"/>
    <w:rsid w:val="3C0E6083"/>
    <w:rsid w:val="425E48CA"/>
    <w:rsid w:val="48E54635"/>
    <w:rsid w:val="4D047AEC"/>
    <w:rsid w:val="52052A88"/>
    <w:rsid w:val="57993556"/>
    <w:rsid w:val="74AC36B1"/>
    <w:rsid w:val="77F37B20"/>
    <w:rsid w:val="79667D5C"/>
    <w:rsid w:val="7C054A40"/>
    <w:rsid w:val="7F680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E896365-8DA5-4ACE-996E-7ECDB08FDE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570</Words>
  <Characters>615</Characters>
  <Lines>5</Lines>
  <Paragraphs>1</Paragraphs>
  <TotalTime>1</TotalTime>
  <ScaleCrop>false</ScaleCrop>
  <LinksUpToDate>false</LinksUpToDate>
  <CharactersWithSpaces>713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cp:lastPrinted>2023-03-27T07:54:00Z</cp:lastPrinted>
  <dcterms:modified xsi:type="dcterms:W3CDTF">2024-09-06T12:54:38Z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E676B46F908D45D1988CCAC1C8B3B437_13</vt:lpwstr>
  </property>
</Properties>
</file>