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jc w:val="center"/>
        <w:rPr>
          <w:sz w:val="84"/>
          <w:szCs w:val="84"/>
        </w:rPr>
      </w:pPr>
      <w:bookmarkStart w:id="0" w:name="_GoBack"/>
      <w:bookmarkEnd w:id="0"/>
    </w:p>
    <w:p>
      <w:pPr>
        <w:pStyle w:val="10"/>
        <w:jc w:val="center"/>
        <w:rPr>
          <w:rFonts w:hint="eastAsia"/>
          <w:sz w:val="84"/>
          <w:szCs w:val="84"/>
        </w:rPr>
      </w:pPr>
    </w:p>
    <w:p>
      <w:pPr>
        <w:pStyle w:val="10"/>
        <w:jc w:val="center"/>
        <w:rPr>
          <w:rFonts w:hint="eastAsia"/>
          <w:sz w:val="84"/>
          <w:szCs w:val="84"/>
        </w:rPr>
      </w:pPr>
    </w:p>
    <w:p>
      <w:pPr>
        <w:pStyle w:val="10"/>
        <w:jc w:val="center"/>
        <w:rPr>
          <w:rFonts w:hint="eastAsia"/>
          <w:sz w:val="84"/>
          <w:szCs w:val="84"/>
        </w:rPr>
      </w:pPr>
    </w:p>
    <w:p>
      <w:pPr>
        <w:pStyle w:val="10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2019年度</w:t>
      </w:r>
    </w:p>
    <w:p>
      <w:pPr>
        <w:pStyle w:val="10"/>
        <w:jc w:val="center"/>
        <w:rPr>
          <w:rFonts w:hint="eastAsia" w:eastAsia="黑体"/>
          <w:sz w:val="84"/>
          <w:szCs w:val="84"/>
          <w:lang w:eastAsia="zh-CN"/>
        </w:rPr>
      </w:pPr>
      <w:r>
        <w:rPr>
          <w:rFonts w:hint="eastAsia"/>
          <w:sz w:val="84"/>
          <w:szCs w:val="84"/>
        </w:rPr>
        <w:t>衡东县人民代表大会常务委员会部门决算</w:t>
      </w:r>
      <w:r>
        <w:rPr>
          <w:rFonts w:hint="eastAsia"/>
          <w:sz w:val="84"/>
          <w:szCs w:val="84"/>
          <w:lang w:eastAsia="zh-CN"/>
        </w:rPr>
        <w:t>说明</w:t>
      </w: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both"/>
        <w:rPr>
          <w:sz w:val="56"/>
          <w:szCs w:val="56"/>
        </w:rPr>
      </w:pPr>
    </w:p>
    <w:p>
      <w:pPr>
        <w:pStyle w:val="10"/>
        <w:spacing w:line="540" w:lineRule="exact"/>
        <w:jc w:val="center"/>
        <w:rPr>
          <w:sz w:val="56"/>
          <w:szCs w:val="56"/>
        </w:rPr>
      </w:pPr>
    </w:p>
    <w:p>
      <w:pPr>
        <w:pStyle w:val="10"/>
        <w:spacing w:line="520" w:lineRule="exact"/>
        <w:jc w:val="center"/>
        <w:rPr>
          <w:sz w:val="56"/>
          <w:szCs w:val="56"/>
        </w:rPr>
      </w:pPr>
      <w:r>
        <w:rPr>
          <w:rFonts w:hint="eastAsia"/>
          <w:sz w:val="56"/>
          <w:szCs w:val="56"/>
        </w:rPr>
        <w:t>目录</w:t>
      </w:r>
    </w:p>
    <w:p>
      <w:pPr>
        <w:pStyle w:val="10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</w:t>
      </w:r>
      <w:r>
        <w:rPr>
          <w:rFonts w:hint="eastAsia"/>
          <w:b/>
          <w:sz w:val="28"/>
          <w:szCs w:val="28"/>
          <w:lang w:eastAsia="zh-CN"/>
        </w:rPr>
        <w:t>人大</w:t>
      </w:r>
      <w:r>
        <w:rPr>
          <w:rFonts w:hint="eastAsia"/>
          <w:b/>
          <w:sz w:val="28"/>
          <w:szCs w:val="28"/>
        </w:rPr>
        <w:t>单位概况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一、部门职责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二、机构设置</w:t>
      </w:r>
    </w:p>
    <w:p>
      <w:pPr>
        <w:pStyle w:val="10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hAnsi="仿宋_GB2312"/>
          <w:b/>
          <w:sz w:val="28"/>
          <w:szCs w:val="28"/>
        </w:rPr>
        <w:t>第二部分</w:t>
      </w:r>
      <w:r>
        <w:rPr>
          <w:rFonts w:hAnsi="仿宋_GB2312"/>
          <w:b/>
          <w:sz w:val="28"/>
          <w:szCs w:val="28"/>
        </w:rPr>
        <w:t>2019</w:t>
      </w:r>
      <w:r>
        <w:rPr>
          <w:rFonts w:hint="eastAsia" w:hAnsi="仿宋_GB2312"/>
          <w:b/>
          <w:sz w:val="28"/>
          <w:szCs w:val="28"/>
        </w:rPr>
        <w:t>年度部门决算情况说明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一、收入支出决算总体情况说明</w:t>
      </w:r>
    </w:p>
    <w:p>
      <w:pPr>
        <w:spacing w:line="520" w:lineRule="exact"/>
        <w:ind w:firstLine="700" w:firstLineChars="25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二、收入决算情况说明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七、一般公共预算财政拨款三公经费支出决算情况说明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八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政府性基金预算收入支出决算情况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九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、预算绩效情况说明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十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、其他重要事项情况说明</w:t>
      </w:r>
    </w:p>
    <w:p>
      <w:pPr>
        <w:autoSpaceDE w:val="0"/>
        <w:autoSpaceDN w:val="0"/>
        <w:adjustRightInd w:val="0"/>
        <w:spacing w:line="520" w:lineRule="exact"/>
        <w:jc w:val="left"/>
        <w:rPr>
          <w:rFonts w:ascii="黑体" w:hAnsi="黑体" w:eastAsia="黑体" w:cs="仿宋_GB2312"/>
          <w:b/>
          <w:color w:val="000000"/>
          <w:kern w:val="0"/>
          <w:sz w:val="28"/>
          <w:szCs w:val="28"/>
        </w:rPr>
      </w:pPr>
      <w:r>
        <w:rPr>
          <w:rFonts w:ascii="黑体" w:hAnsi="黑体" w:eastAsia="黑体" w:cs="黑体"/>
          <w:b/>
          <w:color w:val="000000"/>
          <w:kern w:val="0"/>
          <w:sz w:val="28"/>
          <w:szCs w:val="28"/>
        </w:rPr>
        <w:t>第</w:t>
      </w: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ascii="黑体" w:hAnsi="黑体" w:eastAsia="黑体" w:cs="黑体"/>
          <w:b/>
          <w:color w:val="000000"/>
          <w:kern w:val="0"/>
          <w:sz w:val="28"/>
          <w:szCs w:val="28"/>
        </w:rPr>
        <w:t>部分名词解释</w:t>
      </w:r>
    </w:p>
    <w:p>
      <w:pPr>
        <w:spacing w:line="520" w:lineRule="exact"/>
        <w:jc w:val="left"/>
        <w:rPr>
          <w:rFonts w:ascii="黑体" w:hAnsi="黑体" w:eastAsia="黑体" w:cs="黑体"/>
          <w:b/>
          <w:color w:val="000000"/>
          <w:kern w:val="0"/>
          <w:sz w:val="28"/>
          <w:szCs w:val="28"/>
        </w:rPr>
      </w:pPr>
      <w:r>
        <w:rPr>
          <w:rFonts w:ascii="黑体" w:hAnsi="黑体" w:eastAsia="黑体" w:cs="黑体"/>
          <w:b/>
          <w:color w:val="000000"/>
          <w:kern w:val="0"/>
          <w:sz w:val="28"/>
          <w:szCs w:val="28"/>
        </w:rPr>
        <w:t>第</w:t>
      </w: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  <w:lang w:val="en-US" w:eastAsia="zh-CN"/>
        </w:rPr>
        <w:t>四</w:t>
      </w:r>
      <w:r>
        <w:rPr>
          <w:rFonts w:ascii="黑体" w:hAnsi="黑体" w:eastAsia="黑体" w:cs="黑体"/>
          <w:b/>
          <w:color w:val="000000"/>
          <w:kern w:val="0"/>
          <w:sz w:val="28"/>
          <w:szCs w:val="28"/>
        </w:rPr>
        <w:t>部分附件</w:t>
      </w:r>
    </w:p>
    <w:p>
      <w:pPr>
        <w:spacing w:line="520" w:lineRule="exact"/>
        <w:jc w:val="left"/>
        <w:rPr>
          <w:rFonts w:ascii="黑体" w:hAnsi="黑体" w:eastAsia="黑体" w:cs="黑体"/>
          <w:b/>
          <w:color w:val="000000"/>
          <w:kern w:val="0"/>
          <w:sz w:val="28"/>
          <w:szCs w:val="28"/>
        </w:rPr>
      </w:pPr>
      <w:r>
        <w:rPr>
          <w:rFonts w:hAnsi="仿宋_GB2312"/>
          <w:b/>
          <w:sz w:val="28"/>
          <w:szCs w:val="28"/>
        </w:rPr>
        <w:t>2019</w:t>
      </w:r>
      <w:r>
        <w:rPr>
          <w:rFonts w:hint="eastAsia" w:hAnsi="仿宋_GB2312"/>
          <w:b/>
          <w:sz w:val="28"/>
          <w:szCs w:val="28"/>
        </w:rPr>
        <w:t>年度部门决算表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一、收入支出决算总表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二、收入决算表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三、支出决算表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四、财政拨款收入支出决算总表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五、一般公共预算财政拨款支出决算表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六、一般公共预算财政拨款基本支出决算表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七、一般公共预算财政拨款“三公”经费支出决算表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八、政府性基金预算财政拨款收入支出决算表</w:t>
      </w:r>
    </w:p>
    <w:p>
      <w:pPr>
        <w:spacing w:line="520" w:lineRule="exact"/>
        <w:jc w:val="left"/>
        <w:rPr>
          <w:rFonts w:ascii="黑体" w:hAnsi="黑体" w:eastAsia="黑体" w:cs="黑体"/>
          <w:b/>
          <w:color w:val="000000"/>
          <w:kern w:val="0"/>
          <w:sz w:val="28"/>
          <w:szCs w:val="28"/>
        </w:rPr>
      </w:pPr>
    </w:p>
    <w:p>
      <w:pPr>
        <w:spacing w:line="520" w:lineRule="exact"/>
        <w:jc w:val="left"/>
        <w:rPr>
          <w:rFonts w:ascii="黑体" w:hAnsi="黑体" w:eastAsia="黑体" w:cs="黑体"/>
          <w:b/>
          <w:color w:val="000000"/>
          <w:kern w:val="0"/>
          <w:sz w:val="28"/>
          <w:szCs w:val="28"/>
        </w:rPr>
      </w:pPr>
    </w:p>
    <w:p>
      <w:pPr>
        <w:pStyle w:val="10"/>
        <w:jc w:val="center"/>
        <w:rPr>
          <w:rFonts w:hint="eastAsia"/>
          <w:sz w:val="52"/>
          <w:szCs w:val="52"/>
        </w:rPr>
      </w:pPr>
    </w:p>
    <w:p>
      <w:pPr>
        <w:pStyle w:val="10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第一部分</w:t>
      </w:r>
      <w:r>
        <w:rPr>
          <w:sz w:val="52"/>
          <w:szCs w:val="52"/>
        </w:rPr>
        <w:t xml:space="preserve"> </w:t>
      </w:r>
    </w:p>
    <w:p>
      <w:pPr>
        <w:pStyle w:val="10"/>
        <w:jc w:val="center"/>
        <w:rPr>
          <w:sz w:val="52"/>
          <w:szCs w:val="52"/>
        </w:rPr>
      </w:pPr>
      <w:r>
        <w:rPr>
          <w:rFonts w:hint="eastAsia"/>
          <w:sz w:val="52"/>
          <w:szCs w:val="52"/>
          <w:lang w:eastAsia="zh-CN"/>
        </w:rPr>
        <w:t>人大</w:t>
      </w:r>
      <w:r>
        <w:rPr>
          <w:rFonts w:hint="eastAsia"/>
          <w:sz w:val="52"/>
          <w:szCs w:val="52"/>
        </w:rPr>
        <w:t>概况</w:t>
      </w:r>
    </w:p>
    <w:p>
      <w:pPr>
        <w:pStyle w:val="11"/>
        <w:ind w:left="720" w:firstLine="0" w:firstLineChars="0"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shd w:val="clear" w:color="auto" w:fill="FFFFFF"/>
        <w:tabs>
          <w:tab w:val="left" w:pos="9885"/>
        </w:tabs>
        <w:spacing w:line="660" w:lineRule="exact"/>
        <w:jc w:val="left"/>
        <w:rPr>
          <w:rFonts w:hint="eastAsia"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一、部门职责</w:t>
      </w:r>
      <w:r>
        <w:rPr>
          <w:rFonts w:hint="eastAsia" w:eastAsia="黑体"/>
          <w:bCs/>
          <w:kern w:val="0"/>
          <w:sz w:val="32"/>
          <w:szCs w:val="32"/>
        </w:rPr>
        <w:t>及机构设置情况</w:t>
      </w:r>
      <w:r>
        <w:rPr>
          <w:rFonts w:ascii="宋体" w:hAnsi="宋体" w:cs="宋体"/>
          <w:b/>
          <w:kern w:val="0"/>
          <w:sz w:val="30"/>
          <w:szCs w:val="30"/>
        </w:rPr>
        <w:tab/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县人大常委会是县人民代表大会的常设机关，对县人民代表大会负责并报告工作。县人大常委会行使下列职权：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1、在本行政区域内，保证宪法、法律、行政法规和上级人民代表大会及其常委会决议的遵守和执行；领导、主持县人民代表大会代表的选举；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2、召集县人民代表大会会议；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3、讨论、决定本县内的政治、经济、教育、科学、文化、卫生、环境和资源保护、民政、民族等工作的重大事项；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4、根据县人民政府的建议，决定对本县内的国民经济和社会发展计划、预算的部分变更；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5、监督县人民政府、人民法院和人民检察院的工作，联系县人民代表大会代表，受理人民群众对上述机关和国家工作人员的申诉和意见；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6、撤销乡镇人民代表大会及人大主席团的不适当的决议；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7、撤销县人民政府的不适当的决议和命令；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8、在县人民代表大会闭会期间，决定副县长的个别任免；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9、在县长和人民法院院长、人民检察院检察长因故不能担任职务的时候，从县人民政府、人民法院、人民检察院副职领导人员中决定代理的人选。决定代理检察长，须报市人民检察院和人大常委会备案；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10、根据县长的提名，决定县人民政府办公室主任、各序列局局长的任免；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11、按照人民法院组织法和人民检察院组织法的规定，任免人民法院副院长、庭长、副庭长、审判委员会委员、审判员，任免人民检察院副检察长、检察委员会委员、检察员；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12、在县人民代表大会闭会期间，决定撤销个别副县长；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13、决定撤销由它任命的县人民政府其他组成人员和人民法院副院长、庭长、副庭长、审判委员会委员、审判员，人民检察院副检察长、检察委员会委员、检察员；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14、在县人民代表大会闭会期间，补选市人民代表大会出缺的代表和罢免个别代表；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15、决定授予地方的荣誉称号等。</w:t>
      </w:r>
    </w:p>
    <w:p>
      <w:pPr>
        <w:widowControl/>
        <w:shd w:val="clear" w:color="auto" w:fill="FFFFFF"/>
        <w:spacing w:line="660" w:lineRule="exact"/>
        <w:ind w:firstLine="600" w:firstLineChars="200"/>
        <w:jc w:val="left"/>
        <w:rPr>
          <w:rFonts w:hint="eastAsia" w:ascii="Arial" w:hAnsi="Arial" w:cs="Arial"/>
          <w:color w:val="333333"/>
          <w:kern w:val="0"/>
          <w:sz w:val="30"/>
          <w:szCs w:val="21"/>
        </w:rPr>
      </w:pPr>
      <w:r>
        <w:rPr>
          <w:rFonts w:hint="eastAsia" w:ascii="Arial" w:hAnsi="Arial" w:cs="Arial"/>
          <w:color w:val="333333"/>
          <w:kern w:val="0"/>
          <w:sz w:val="30"/>
          <w:szCs w:val="21"/>
        </w:rPr>
        <w:t>16、县人大常委会现设</w:t>
      </w:r>
      <w:r>
        <w:rPr>
          <w:rFonts w:hint="eastAsia" w:ascii="Arial" w:hAnsi="Arial" w:cs="Arial"/>
          <w:color w:val="333333"/>
          <w:kern w:val="0"/>
          <w:sz w:val="30"/>
          <w:szCs w:val="21"/>
          <w:lang w:val="en-US" w:eastAsia="zh-CN"/>
        </w:rPr>
        <w:t>9</w:t>
      </w:r>
      <w:r>
        <w:rPr>
          <w:rFonts w:hint="eastAsia" w:ascii="Arial" w:hAnsi="Arial" w:cs="Arial"/>
          <w:color w:val="333333"/>
          <w:kern w:val="0"/>
          <w:sz w:val="30"/>
          <w:szCs w:val="21"/>
        </w:rPr>
        <w:t>个内设委、办（室）：</w:t>
      </w:r>
      <w:r>
        <w:rPr>
          <w:rFonts w:hint="eastAsia" w:ascii="Arial" w:hAnsi="Arial" w:cs="Arial"/>
          <w:color w:val="333333"/>
          <w:kern w:val="0"/>
          <w:sz w:val="30"/>
          <w:szCs w:val="21"/>
          <w:lang w:eastAsia="zh-CN"/>
        </w:rPr>
        <w:t>人大常委会</w:t>
      </w:r>
      <w:r>
        <w:rPr>
          <w:rFonts w:hint="eastAsia" w:ascii="Arial" w:hAnsi="Arial" w:cs="Arial"/>
          <w:color w:val="333333"/>
          <w:kern w:val="0"/>
          <w:sz w:val="30"/>
          <w:szCs w:val="21"/>
        </w:rPr>
        <w:t>办公室、</w:t>
      </w:r>
      <w:r>
        <w:rPr>
          <w:rFonts w:hint="eastAsia" w:ascii="Arial" w:hAnsi="Arial" w:cs="Arial"/>
          <w:color w:val="333333"/>
          <w:kern w:val="0"/>
          <w:sz w:val="30"/>
          <w:szCs w:val="21"/>
          <w:lang w:eastAsia="zh-CN"/>
        </w:rPr>
        <w:t>民族华侨外事委员会、选举联络工作委员会</w:t>
      </w:r>
      <w:r>
        <w:rPr>
          <w:rFonts w:hint="eastAsia" w:ascii="Arial" w:hAnsi="Arial" w:cs="Arial"/>
          <w:color w:val="333333"/>
          <w:kern w:val="0"/>
          <w:sz w:val="30"/>
          <w:szCs w:val="21"/>
        </w:rPr>
        <w:t>、</w:t>
      </w:r>
      <w:r>
        <w:rPr>
          <w:rFonts w:hint="eastAsia" w:ascii="Arial" w:hAnsi="Arial" w:cs="Arial"/>
          <w:color w:val="333333"/>
          <w:kern w:val="0"/>
          <w:sz w:val="30"/>
          <w:szCs w:val="21"/>
          <w:lang w:eastAsia="zh-CN"/>
        </w:rPr>
        <w:t>财政经济委员会、监察与司法委员会、</w:t>
      </w:r>
      <w:r>
        <w:rPr>
          <w:rFonts w:hint="eastAsia" w:ascii="Arial" w:hAnsi="Arial" w:cs="Arial"/>
          <w:color w:val="333333"/>
          <w:kern w:val="0"/>
          <w:sz w:val="30"/>
          <w:szCs w:val="21"/>
        </w:rPr>
        <w:t>农</w:t>
      </w:r>
      <w:r>
        <w:rPr>
          <w:rFonts w:hint="eastAsia" w:ascii="Arial" w:hAnsi="Arial" w:cs="Arial"/>
          <w:color w:val="333333"/>
          <w:kern w:val="0"/>
          <w:sz w:val="30"/>
          <w:szCs w:val="21"/>
          <w:lang w:eastAsia="zh-CN"/>
        </w:rPr>
        <w:t>业与农村委员会</w:t>
      </w:r>
      <w:r>
        <w:rPr>
          <w:rFonts w:hint="eastAsia" w:ascii="Arial" w:hAnsi="Arial" w:cs="Arial"/>
          <w:color w:val="333333"/>
          <w:kern w:val="0"/>
          <w:sz w:val="30"/>
          <w:szCs w:val="21"/>
        </w:rPr>
        <w:t>、</w:t>
      </w:r>
      <w:r>
        <w:rPr>
          <w:rFonts w:hint="eastAsia" w:ascii="Arial" w:hAnsi="Arial" w:cs="Arial"/>
          <w:color w:val="333333"/>
          <w:kern w:val="0"/>
          <w:sz w:val="30"/>
          <w:szCs w:val="21"/>
          <w:lang w:eastAsia="zh-CN"/>
        </w:rPr>
        <w:t>环境与资源保护委员会</w:t>
      </w:r>
      <w:r>
        <w:rPr>
          <w:rFonts w:hint="eastAsia" w:ascii="Arial" w:hAnsi="Arial" w:cs="Arial"/>
          <w:color w:val="333333"/>
          <w:kern w:val="0"/>
          <w:sz w:val="30"/>
          <w:szCs w:val="21"/>
        </w:rPr>
        <w:t>、</w:t>
      </w:r>
      <w:r>
        <w:rPr>
          <w:rFonts w:hint="eastAsia" w:ascii="Arial" w:hAnsi="Arial" w:cs="Arial"/>
          <w:color w:val="333333"/>
          <w:kern w:val="0"/>
          <w:sz w:val="30"/>
          <w:szCs w:val="21"/>
          <w:lang w:eastAsia="zh-CN"/>
        </w:rPr>
        <w:t>社会建设委员会</w:t>
      </w:r>
      <w:r>
        <w:rPr>
          <w:rFonts w:hint="eastAsia" w:ascii="Arial" w:hAnsi="Arial" w:cs="Arial"/>
          <w:color w:val="333333"/>
          <w:kern w:val="0"/>
          <w:sz w:val="30"/>
          <w:szCs w:val="21"/>
        </w:rPr>
        <w:t>、</w:t>
      </w:r>
      <w:r>
        <w:rPr>
          <w:rFonts w:hint="eastAsia" w:ascii="Arial" w:hAnsi="Arial" w:cs="Arial"/>
          <w:color w:val="333333"/>
          <w:kern w:val="0"/>
          <w:sz w:val="30"/>
          <w:szCs w:val="21"/>
          <w:lang w:eastAsia="zh-CN"/>
        </w:rPr>
        <w:t>教育科学文化卫生委员会</w:t>
      </w:r>
      <w:r>
        <w:rPr>
          <w:rFonts w:hint="eastAsia" w:ascii="Arial" w:hAnsi="Arial" w:cs="Arial"/>
          <w:color w:val="333333"/>
          <w:kern w:val="0"/>
          <w:sz w:val="30"/>
          <w:szCs w:val="21"/>
        </w:rPr>
        <w:t>。</w:t>
      </w:r>
    </w:p>
    <w:p>
      <w:pPr>
        <w:jc w:val="both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pStyle w:val="10"/>
        <w:rPr>
          <w:sz w:val="72"/>
          <w:szCs w:val="72"/>
        </w:rPr>
        <w:sectPr>
          <w:footerReference r:id="rId3" w:type="default"/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第</w:t>
      </w:r>
      <w:r>
        <w:rPr>
          <w:rFonts w:hint="eastAsia"/>
          <w:sz w:val="52"/>
          <w:szCs w:val="52"/>
          <w:lang w:val="en-US" w:eastAsia="zh-CN"/>
        </w:rPr>
        <w:t>二</w:t>
      </w:r>
      <w:r>
        <w:rPr>
          <w:rFonts w:hint="eastAsia"/>
          <w:sz w:val="52"/>
          <w:szCs w:val="52"/>
        </w:rPr>
        <w:t>部分</w:t>
      </w:r>
    </w:p>
    <w:p>
      <w:pPr>
        <w:pStyle w:val="10"/>
        <w:jc w:val="center"/>
        <w:rPr>
          <w:sz w:val="52"/>
          <w:szCs w:val="52"/>
        </w:rPr>
      </w:pPr>
    </w:p>
    <w:p>
      <w:pPr>
        <w:pStyle w:val="10"/>
        <w:jc w:val="center"/>
        <w:rPr>
          <w:rFonts w:ascii="黑体" w:eastAsia="黑体" w:cs="黑体"/>
          <w:color w:val="000000"/>
          <w:kern w:val="0"/>
          <w:sz w:val="52"/>
          <w:szCs w:val="52"/>
        </w:rPr>
      </w:pPr>
      <w:r>
        <w:rPr>
          <w:sz w:val="52"/>
          <w:szCs w:val="52"/>
        </w:rPr>
        <w:t>2019</w:t>
      </w:r>
      <w:r>
        <w:rPr>
          <w:rFonts w:hint="eastAsia"/>
          <w:sz w:val="52"/>
          <w:szCs w:val="52"/>
        </w:rPr>
        <w:t>年度部门决算情况说明</w:t>
      </w:r>
    </w:p>
    <w:p>
      <w:pPr>
        <w:pStyle w:val="10"/>
        <w:rPr>
          <w:rFonts w:asciiTheme="minorEastAsia" w:hAnsiTheme="minorEastAsia" w:eastAsiaTheme="minorEastAsia"/>
          <w:sz w:val="32"/>
          <w:szCs w:val="32"/>
        </w:rPr>
      </w:pP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一、收入支出决算总体情况说明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 年度收、支总计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877.79</w:t>
      </w:r>
      <w:r>
        <w:rPr>
          <w:rFonts w:hint="eastAsia" w:asciiTheme="minorEastAsia" w:hAnsiTheme="minorEastAsia" w:eastAsiaTheme="minorEastAsia"/>
          <w:sz w:val="32"/>
          <w:szCs w:val="32"/>
        </w:rPr>
        <w:t>万元。与2018年相比，增加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48.54</w:t>
      </w:r>
      <w:r>
        <w:rPr>
          <w:rFonts w:hint="eastAsia" w:asciiTheme="minorEastAsia" w:hAnsiTheme="minorEastAsia" w:eastAsiaTheme="minorEastAsia"/>
          <w:sz w:val="32"/>
          <w:szCs w:val="32"/>
        </w:rPr>
        <w:t>万元，增长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5.53</w:t>
      </w:r>
      <w:r>
        <w:rPr>
          <w:rFonts w:hint="eastAsia" w:asciiTheme="minorEastAsia" w:hAnsiTheme="minorEastAsia" w:eastAsiaTheme="minorEastAsia"/>
          <w:sz w:val="32"/>
          <w:szCs w:val="32"/>
        </w:rPr>
        <w:t>%，主要是因为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人员增加和其他支出。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二、收入决算情况说明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本年收入合计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877.79</w:t>
      </w:r>
      <w:r>
        <w:rPr>
          <w:rFonts w:hint="eastAsia" w:asciiTheme="minorEastAsia" w:hAnsiTheme="minorEastAsia" w:eastAsiaTheme="minorEastAsia"/>
          <w:sz w:val="32"/>
          <w:szCs w:val="32"/>
        </w:rPr>
        <w:t>万元，其中：财政拨款收入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877.79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%；上级补助收入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%；事业收入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%；经营收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%；附属单位上缴收入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%；其他收入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三、支出决算情况说明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本年支出合计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877.79</w:t>
      </w:r>
      <w:r>
        <w:rPr>
          <w:rFonts w:hint="eastAsia" w:asciiTheme="minorEastAsia" w:hAnsiTheme="minorEastAsia" w:eastAsiaTheme="minorEastAsia"/>
          <w:sz w:val="32"/>
          <w:szCs w:val="32"/>
        </w:rPr>
        <w:t>万元，其中：基本支出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585.64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66.72</w:t>
      </w:r>
      <w:r>
        <w:rPr>
          <w:rFonts w:hint="eastAsia" w:asciiTheme="minorEastAsia" w:hAnsiTheme="minorEastAsia" w:eastAsiaTheme="minorEastAsia"/>
          <w:sz w:val="32"/>
          <w:szCs w:val="32"/>
        </w:rPr>
        <w:t>%；项目支出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292.15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33.28</w:t>
      </w:r>
      <w:r>
        <w:rPr>
          <w:rFonts w:hint="eastAsia" w:asciiTheme="minorEastAsia" w:hAnsiTheme="minorEastAsia" w:eastAsiaTheme="minorEastAsia"/>
          <w:sz w:val="32"/>
          <w:szCs w:val="32"/>
        </w:rPr>
        <w:t>%；上缴上级支出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%；经营支出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%；对附属单位补助支出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四、财政拨款收入支出决算总体情况说明</w:t>
      </w:r>
    </w:p>
    <w:p>
      <w:pPr>
        <w:pStyle w:val="10"/>
        <w:ind w:firstLine="64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2019年度财政拨款收、支总计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877.79</w:t>
      </w:r>
      <w:r>
        <w:rPr>
          <w:rFonts w:hint="eastAsia" w:asciiTheme="minorEastAsia" w:hAnsiTheme="minorEastAsia" w:eastAsiaTheme="minorEastAsia"/>
          <w:sz w:val="32"/>
          <w:szCs w:val="32"/>
        </w:rPr>
        <w:t>万元，与2018年相比，增加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48.54</w:t>
      </w:r>
      <w:r>
        <w:rPr>
          <w:rFonts w:hint="eastAsia" w:asciiTheme="minorEastAsia" w:hAnsiTheme="minorEastAsia" w:eastAsiaTheme="minorEastAsia"/>
          <w:sz w:val="32"/>
          <w:szCs w:val="32"/>
        </w:rPr>
        <w:t>万元,增长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5.53</w:t>
      </w:r>
      <w:r>
        <w:rPr>
          <w:rFonts w:hint="eastAsia" w:asciiTheme="minorEastAsia" w:hAnsiTheme="minorEastAsia" w:eastAsiaTheme="minorEastAsia"/>
          <w:sz w:val="32"/>
          <w:szCs w:val="32"/>
        </w:rPr>
        <w:t>%，主要是因为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人员增加和其他支出。</w:t>
      </w:r>
    </w:p>
    <w:p>
      <w:pPr>
        <w:pStyle w:val="10"/>
        <w:ind w:firstLine="64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五、一般公共预算财政拨款支出决算情况说明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（一）财政拨款支出决算总体情况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877.79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万元，占本年支出合计的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%，与2018年相比，财政拨款支出增加（减少）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48.54</w:t>
      </w:r>
      <w:r>
        <w:rPr>
          <w:rFonts w:hint="eastAsia" w:asciiTheme="minorEastAsia" w:hAnsiTheme="minorEastAsia" w:eastAsiaTheme="minorEastAsia"/>
          <w:sz w:val="32"/>
          <w:szCs w:val="32"/>
        </w:rPr>
        <w:t>万元，增长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5.53</w:t>
      </w:r>
      <w:r>
        <w:rPr>
          <w:rFonts w:hint="eastAsia" w:asciiTheme="minorEastAsia" w:hAnsiTheme="minorEastAsia" w:eastAsiaTheme="minorEastAsia"/>
          <w:sz w:val="32"/>
          <w:szCs w:val="32"/>
        </w:rPr>
        <w:t>%，主要是因为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人员增加和其他支出。</w:t>
      </w:r>
    </w:p>
    <w:p>
      <w:pPr>
        <w:pStyle w:val="10"/>
        <w:ind w:firstLine="480" w:firstLineChars="15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（二）财政拨款支出决算结构情况</w:t>
      </w:r>
    </w:p>
    <w:p>
      <w:pPr>
        <w:pStyle w:val="10"/>
        <w:ind w:firstLine="640" w:firstLineChars="20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877.79</w:t>
      </w:r>
      <w:r>
        <w:rPr>
          <w:rFonts w:hint="eastAsia" w:asciiTheme="minorEastAsia" w:hAnsiTheme="minorEastAsia" w:eastAsiaTheme="minorEastAsia"/>
          <w:sz w:val="32"/>
          <w:szCs w:val="32"/>
        </w:rPr>
        <w:t>万元，主要用于以下方面：一般公共服务（类）支出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802.10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91.38</w:t>
      </w:r>
      <w:r>
        <w:rPr>
          <w:rFonts w:hint="eastAsia" w:asciiTheme="minorEastAsia" w:hAnsiTheme="minorEastAsia" w:eastAsiaTheme="minorEastAsia"/>
          <w:sz w:val="32"/>
          <w:szCs w:val="32"/>
        </w:rPr>
        <w:t>%；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社会保障和就业</w:t>
      </w:r>
      <w:r>
        <w:rPr>
          <w:rFonts w:hint="eastAsia" w:asciiTheme="minorEastAsia" w:hAnsiTheme="minorEastAsia" w:eastAsiaTheme="minorEastAsia"/>
          <w:sz w:val="32"/>
          <w:szCs w:val="32"/>
        </w:rPr>
        <w:t>（类）支出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75.69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8.62</w:t>
      </w:r>
      <w:r>
        <w:rPr>
          <w:rFonts w:hint="eastAsia" w:asciiTheme="minorEastAsia" w:hAnsiTheme="minorEastAsia" w:eastAsiaTheme="minorEastAsia"/>
          <w:sz w:val="32"/>
          <w:szCs w:val="32"/>
        </w:rPr>
        <w:t>%。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（三）财政拨款支出决算具体情况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2019年度财政拨款支出年初预算数为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877.79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万元，支出决算数为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877.79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万元，完成年初预算的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%，其中：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1、一般公共服务（类）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201</w:t>
      </w:r>
      <w:r>
        <w:rPr>
          <w:rFonts w:hint="eastAsia" w:asciiTheme="minorEastAsia" w:hAnsiTheme="minorEastAsia" w:eastAsiaTheme="minorEastAsia"/>
          <w:sz w:val="32"/>
          <w:szCs w:val="32"/>
        </w:rPr>
        <w:t>（款）。</w:t>
      </w:r>
    </w:p>
    <w:p>
      <w:pPr>
        <w:pStyle w:val="10"/>
        <w:ind w:firstLine="800" w:firstLineChars="250"/>
        <w:rPr>
          <w:rFonts w:hint="eastAsia"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年初预算为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802.1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802.1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万元，完成年初预算的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%。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2、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社会保障和就业</w:t>
      </w:r>
      <w:r>
        <w:rPr>
          <w:rFonts w:hint="eastAsia" w:asciiTheme="minorEastAsia" w:hAnsiTheme="minorEastAsia" w:eastAsiaTheme="minorEastAsia"/>
          <w:sz w:val="32"/>
          <w:szCs w:val="32"/>
        </w:rPr>
        <w:t>（类）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208</w:t>
      </w:r>
      <w:r>
        <w:rPr>
          <w:rFonts w:hint="eastAsia" w:asciiTheme="minorEastAsia" w:hAnsiTheme="minorEastAsia" w:eastAsiaTheme="minorEastAsia"/>
          <w:sz w:val="32"/>
          <w:szCs w:val="32"/>
        </w:rPr>
        <w:t>（款）。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年初预算为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75.69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75.69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万元，完成年初预算的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六、一般公共预算财政拨款基本支出决算情况说明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2019年度财政拨款基本支出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585.64</w:t>
      </w:r>
      <w:r>
        <w:rPr>
          <w:rFonts w:hint="eastAsia" w:asciiTheme="minorEastAsia" w:hAnsiTheme="minorEastAsia" w:eastAsiaTheme="minorEastAsia"/>
          <w:sz w:val="32"/>
          <w:szCs w:val="32"/>
        </w:rPr>
        <w:t>万元，其中：人员经费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477.28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万元，占基本支出的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81.5</w:t>
      </w:r>
      <w:r>
        <w:rPr>
          <w:rFonts w:hint="eastAsia" w:asciiTheme="minorEastAsia" w:hAnsiTheme="minorEastAsia" w:eastAsiaTheme="minorEastAsia"/>
          <w:sz w:val="32"/>
          <w:szCs w:val="32"/>
        </w:rPr>
        <w:t>%,主要包括基本工资、津贴补贴、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绩效工资、</w:t>
      </w:r>
      <w:r>
        <w:rPr>
          <w:rFonts w:hint="eastAsia" w:asciiTheme="minorEastAsia" w:hAnsiTheme="minorEastAsia" w:eastAsiaTheme="minorEastAsia"/>
          <w:sz w:val="32"/>
          <w:szCs w:val="32"/>
        </w:rPr>
        <w:t>奖金、伙食补助费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/>
          <w:sz w:val="32"/>
          <w:szCs w:val="32"/>
        </w:rPr>
        <w:t>职工基本医疗保险缴费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、住房公积金 、其他工资福利支出</w:t>
      </w:r>
      <w:r>
        <w:rPr>
          <w:rFonts w:hint="eastAsia" w:asciiTheme="minorEastAsia" w:hAnsiTheme="minorEastAsia" w:eastAsiaTheme="minorEastAsia"/>
          <w:sz w:val="32"/>
          <w:szCs w:val="32"/>
        </w:rPr>
        <w:t>；公用经费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108.36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万元，占基本支出的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18.5</w:t>
      </w:r>
      <w:r>
        <w:rPr>
          <w:rFonts w:hint="eastAsia" w:asciiTheme="minorEastAsia" w:hAnsiTheme="minorEastAsia" w:eastAsiaTheme="minorEastAsia"/>
          <w:sz w:val="32"/>
          <w:szCs w:val="32"/>
        </w:rPr>
        <w:t>%，主要包括办公费、印刷费、咨询费、手续费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/>
          <w:sz w:val="32"/>
          <w:szCs w:val="32"/>
        </w:rPr>
        <w:t>水费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、 邮电费、会议费</w:t>
      </w:r>
      <w:r>
        <w:rPr>
          <w:rFonts w:hint="eastAsia" w:asciiTheme="minorEastAsia" w:hAnsiTheme="minorEastAsia" w:eastAsiaTheme="minorEastAsia"/>
          <w:sz w:val="32"/>
          <w:szCs w:val="32"/>
        </w:rPr>
        <w:t>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七、一般公共预算财政拨款三公经费支出决算情况说明</w:t>
      </w:r>
    </w:p>
    <w:p>
      <w:pPr>
        <w:pStyle w:val="1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（一）“三公”经费财政拨款支出决算总体情况说明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“三公”经费财政拨款支出预算为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7.59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63.25</w:t>
      </w:r>
      <w:r>
        <w:rPr>
          <w:rFonts w:hint="eastAsia" w:asciiTheme="minorEastAsia" w:hAnsiTheme="minorEastAsia" w:eastAsiaTheme="minorEastAsia"/>
          <w:sz w:val="32"/>
          <w:szCs w:val="32"/>
        </w:rPr>
        <w:t>%，其中：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无</w:t>
      </w:r>
      <w:r>
        <w:rPr>
          <w:rFonts w:hint="eastAsia" w:asciiTheme="minorEastAsia" w:hAnsiTheme="minorEastAsia" w:eastAsiaTheme="minorEastAsia"/>
          <w:sz w:val="32"/>
          <w:szCs w:val="32"/>
        </w:rPr>
        <w:t>因公出国（境）费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收</w:t>
      </w:r>
      <w:r>
        <w:rPr>
          <w:rFonts w:hint="eastAsia" w:asciiTheme="minorEastAsia" w:hAnsiTheme="minorEastAsia" w:eastAsiaTheme="minorEastAsia"/>
          <w:sz w:val="32"/>
          <w:szCs w:val="32"/>
        </w:rPr>
        <w:t>支出预算。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公务接待费支出预算为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5.74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82</w:t>
      </w:r>
      <w:r>
        <w:rPr>
          <w:rFonts w:hint="eastAsia" w:asciiTheme="minorEastAsia" w:hAnsiTheme="minorEastAsia" w:eastAsiaTheme="minorEastAsia"/>
          <w:sz w:val="32"/>
          <w:szCs w:val="32"/>
        </w:rPr>
        <w:t>%，决算数小于年初预算数的主要原因是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节约开支</w:t>
      </w:r>
      <w:r>
        <w:rPr>
          <w:rFonts w:hint="eastAsia" w:asciiTheme="minorEastAsia" w:hAnsiTheme="minorEastAsia" w:eastAsiaTheme="minorEastAsia"/>
          <w:sz w:val="32"/>
          <w:szCs w:val="32"/>
        </w:rPr>
        <w:t>，与上年相比减少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3.22</w:t>
      </w:r>
      <w:r>
        <w:rPr>
          <w:rFonts w:hint="eastAsia" w:asciiTheme="minorEastAsia" w:hAnsiTheme="minorEastAsia" w:eastAsiaTheme="minorEastAsia"/>
          <w:sz w:val="32"/>
          <w:szCs w:val="32"/>
        </w:rPr>
        <w:t>万元，减少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35.94</w:t>
      </w:r>
      <w:r>
        <w:rPr>
          <w:rFonts w:hint="eastAsia" w:asciiTheme="minorEastAsia" w:hAnsiTheme="minorEastAsia" w:eastAsiaTheme="minorEastAsia"/>
          <w:sz w:val="32"/>
          <w:szCs w:val="32"/>
        </w:rPr>
        <w:t>%,减少的主要原因是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节约开支</w:t>
      </w:r>
      <w:r>
        <w:rPr>
          <w:rFonts w:hint="eastAsia" w:asciiTheme="minorEastAsia" w:hAnsiTheme="minorEastAsia" w:eastAsiaTheme="minorEastAsia"/>
          <w:sz w:val="32"/>
          <w:szCs w:val="32"/>
        </w:rPr>
        <w:t>。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公务用车购置费及运行维护费支出预算为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1.85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37</w:t>
      </w:r>
      <w:r>
        <w:rPr>
          <w:rFonts w:hint="eastAsia" w:asciiTheme="minorEastAsia" w:hAnsiTheme="minorEastAsia" w:eastAsiaTheme="minorEastAsia"/>
          <w:sz w:val="32"/>
          <w:szCs w:val="32"/>
        </w:rPr>
        <w:t>%，决算数小于年初预算数的主要原因是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节约开支</w:t>
      </w:r>
      <w:r>
        <w:rPr>
          <w:rFonts w:hint="eastAsia" w:asciiTheme="minorEastAsia" w:hAnsiTheme="minorEastAsia" w:eastAsiaTheme="minorEastAsia"/>
          <w:sz w:val="32"/>
          <w:szCs w:val="32"/>
        </w:rPr>
        <w:t>，与上年相比减少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1.52</w:t>
      </w:r>
      <w:r>
        <w:rPr>
          <w:rFonts w:hint="eastAsia" w:asciiTheme="minorEastAsia" w:hAnsiTheme="minorEastAsia" w:eastAsiaTheme="minorEastAsia"/>
          <w:sz w:val="32"/>
          <w:szCs w:val="32"/>
        </w:rPr>
        <w:t>万元，减少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45.1</w:t>
      </w:r>
      <w:r>
        <w:rPr>
          <w:rFonts w:hint="eastAsia" w:asciiTheme="minorEastAsia" w:hAnsiTheme="minorEastAsia" w:eastAsiaTheme="minorEastAsia"/>
          <w:sz w:val="32"/>
          <w:szCs w:val="32"/>
        </w:rPr>
        <w:t>%,减少（增长）的主要原因是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节约开支</w:t>
      </w:r>
      <w:r>
        <w:rPr>
          <w:rFonts w:hint="eastAsia" w:asciiTheme="minorEastAsia" w:hAnsiTheme="minorEastAsia" w:eastAsiaTheme="minorEastAsia"/>
          <w:sz w:val="32"/>
          <w:szCs w:val="32"/>
        </w:rPr>
        <w:t>。</w:t>
      </w:r>
    </w:p>
    <w:p>
      <w:pPr>
        <w:pStyle w:val="1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（二）“三公”经费财政拨款支出决算具体情况说明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2019年度“三公”经费财政拨款支出决算中，公务接待费支出决算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5.74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75.63</w:t>
      </w:r>
      <w:r>
        <w:rPr>
          <w:rFonts w:hint="eastAsia" w:asciiTheme="minorEastAsia" w:hAnsiTheme="minorEastAsia" w:eastAsiaTheme="minorEastAsia"/>
          <w:sz w:val="32"/>
          <w:szCs w:val="32"/>
        </w:rPr>
        <w:t>%,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无</w:t>
      </w:r>
      <w:r>
        <w:rPr>
          <w:rFonts w:hint="eastAsia" w:asciiTheme="minorEastAsia" w:hAnsiTheme="minorEastAsia" w:eastAsiaTheme="minorEastAsia"/>
          <w:sz w:val="32"/>
          <w:szCs w:val="32"/>
        </w:rPr>
        <w:t>因公出国（境）费支出决算,公务用车购置费及运行维护费支出决算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1.85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27.37</w:t>
      </w:r>
      <w:r>
        <w:rPr>
          <w:rFonts w:hint="eastAsia" w:asciiTheme="minorEastAsia" w:hAnsiTheme="minorEastAsia" w:eastAsiaTheme="minorEastAsia"/>
          <w:sz w:val="32"/>
          <w:szCs w:val="32"/>
        </w:rPr>
        <w:t>%。其中：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1、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无</w:t>
      </w:r>
      <w:r>
        <w:rPr>
          <w:rFonts w:hint="eastAsia" w:asciiTheme="minorEastAsia" w:hAnsiTheme="minorEastAsia" w:eastAsiaTheme="minorEastAsia"/>
          <w:sz w:val="32"/>
          <w:szCs w:val="32"/>
        </w:rPr>
        <w:t>因公出国（境）费支出决算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2、公务接待费支出决算为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5.74</w:t>
      </w:r>
      <w:r>
        <w:rPr>
          <w:rFonts w:hint="eastAsia" w:asciiTheme="minorEastAsia" w:hAnsiTheme="minorEastAsia" w:eastAsiaTheme="minorEastAsia"/>
          <w:sz w:val="32"/>
          <w:szCs w:val="32"/>
        </w:rPr>
        <w:t>万元，全年共接待来访团组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236</w:t>
      </w:r>
      <w:r>
        <w:rPr>
          <w:rFonts w:hint="eastAsia" w:asciiTheme="minorEastAsia" w:hAnsiTheme="minorEastAsia" w:eastAsiaTheme="minorEastAsia"/>
          <w:sz w:val="32"/>
          <w:szCs w:val="32"/>
        </w:rPr>
        <w:t>个、来宾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1012</w:t>
      </w:r>
      <w:r>
        <w:rPr>
          <w:rFonts w:hint="eastAsia" w:asciiTheme="minorEastAsia" w:hAnsiTheme="minorEastAsia" w:eastAsiaTheme="minorEastAsia"/>
          <w:sz w:val="32"/>
          <w:szCs w:val="32"/>
        </w:rPr>
        <w:t>人次，主要是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人大日常</w:t>
      </w:r>
      <w:r>
        <w:rPr>
          <w:rFonts w:hint="eastAsia" w:asciiTheme="minorEastAsia" w:hAnsiTheme="minorEastAsia" w:eastAsiaTheme="minorEastAsia"/>
          <w:sz w:val="32"/>
          <w:szCs w:val="32"/>
        </w:rPr>
        <w:t>发生的接待支出。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3、公务用车购置费及运行维护费支出决算为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1.85</w:t>
      </w:r>
      <w:r>
        <w:rPr>
          <w:rFonts w:hint="eastAsia" w:asciiTheme="minorEastAsia" w:hAnsiTheme="minorEastAsia"/>
          <w:sz w:val="32"/>
          <w:szCs w:val="32"/>
        </w:rPr>
        <w:t>万元，其中：公务用车运行维护费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1.85</w:t>
      </w:r>
      <w:r>
        <w:rPr>
          <w:rFonts w:hint="eastAsia" w:asciiTheme="minorEastAsia" w:hAnsiTheme="minorEastAsia"/>
          <w:sz w:val="32"/>
          <w:szCs w:val="32"/>
        </w:rPr>
        <w:t>万元，主要是</w:t>
      </w:r>
      <w:r>
        <w:rPr>
          <w:rFonts w:hint="eastAsia" w:asciiTheme="minorEastAsia" w:hAnsiTheme="minorEastAsia"/>
          <w:sz w:val="32"/>
          <w:szCs w:val="32"/>
          <w:lang w:eastAsia="zh-CN"/>
        </w:rPr>
        <w:t>加油和维护费用</w:t>
      </w:r>
      <w:r>
        <w:rPr>
          <w:rFonts w:hint="eastAsia" w:asciiTheme="minorEastAsia" w:hAnsiTheme="minorEastAsia"/>
          <w:sz w:val="32"/>
          <w:szCs w:val="32"/>
        </w:rPr>
        <w:t>支出，截止2019年12月31日，我单位开支财政拨款的公务用车保有量为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辆。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八、政府性基金预算收入支出决算情况</w:t>
      </w:r>
    </w:p>
    <w:p>
      <w:pPr>
        <w:pStyle w:val="10"/>
        <w:rPr>
          <w:rFonts w:hint="eastAsia" w:asciiTheme="minorEastAsia" w:hAnsiTheme="minorEastAsia" w:eastAsiaTheme="minorEastAsia"/>
          <w:i w:val="0"/>
          <w:iCs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2019年度</w:t>
      </w:r>
      <w:r>
        <w:rPr>
          <w:rFonts w:hint="eastAsia" w:asciiTheme="minorEastAsia" w:hAnsiTheme="minorEastAsia" w:eastAsiaTheme="minorEastAsia"/>
          <w:i w:val="0"/>
          <w:iCs/>
          <w:color w:val="auto"/>
          <w:sz w:val="32"/>
          <w:szCs w:val="32"/>
        </w:rPr>
        <w:t>本单位无政府性基金收支</w:t>
      </w:r>
      <w:r>
        <w:rPr>
          <w:rFonts w:hint="eastAsia" w:asciiTheme="minorEastAsia" w:hAnsiTheme="minorEastAsia" w:eastAsiaTheme="minorEastAsia"/>
          <w:i w:val="0"/>
          <w:iCs/>
          <w:color w:val="auto"/>
          <w:sz w:val="32"/>
          <w:szCs w:val="32"/>
          <w:lang w:eastAsia="zh-CN"/>
        </w:rPr>
        <w:t>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九、关于2019年度预算绩效情况说明</w:t>
      </w:r>
    </w:p>
    <w:p>
      <w:pPr>
        <w:pStyle w:val="1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本单位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2019年度没有开展政府</w:t>
      </w:r>
      <w:r>
        <w:rPr>
          <w:rFonts w:hint="eastAsia" w:asciiTheme="minorEastAsia" w:hAnsiTheme="minorEastAsia" w:eastAsiaTheme="minorEastAsia"/>
          <w:sz w:val="32"/>
          <w:szCs w:val="32"/>
        </w:rPr>
        <w:t>绩效管理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考核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十、其他重要事项情况说明</w:t>
      </w:r>
    </w:p>
    <w:p>
      <w:pPr>
        <w:ind w:firstLine="480" w:firstLineChars="150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（一）机关运行经费支出情况</w:t>
      </w:r>
    </w:p>
    <w:p>
      <w:pPr>
        <w:ind w:firstLine="640" w:firstLineChars="200"/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本部门2019 年度机关运行经费支出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585.64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与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年初预算数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持平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。</w:t>
      </w: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（二）一般性支出情况</w:t>
      </w:r>
    </w:p>
    <w:p>
      <w:pPr>
        <w:ind w:firstLine="640" w:firstLineChars="200"/>
        <w:rPr>
          <w:rFonts w:hint="eastAsia"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2019年本部门开支会议费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99.06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万元，用于召开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衡东县十七届人大四次会议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，人数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304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人，内容为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召开人民代表大会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。（注：三类会议、培训活动，节庆、晚会、论坛、赛事等活动，请分项列明活动计划及经费预算情况）</w:t>
      </w:r>
    </w:p>
    <w:p>
      <w:pPr>
        <w:ind w:firstLine="640" w:firstLineChars="200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（三）政府采购支出情况</w:t>
      </w:r>
    </w:p>
    <w:p>
      <w:pPr>
        <w:ind w:firstLine="640" w:firstLineChars="200"/>
        <w:rPr>
          <w:rFonts w:hint="eastAsia" w:cs="黑体" w:asciiTheme="minorEastAsia" w:hAnsiTheme="minorEastAsia" w:eastAsiaTheme="minorEastAsia"/>
          <w:i/>
          <w:color w:val="FF0000"/>
          <w:kern w:val="0"/>
          <w:sz w:val="32"/>
          <w:szCs w:val="32"/>
          <w:lang w:eastAsia="zh-CN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本部门2019年度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无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政府采购支出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。</w:t>
      </w:r>
    </w:p>
    <w:p>
      <w:pPr>
        <w:ind w:firstLine="480" w:firstLineChars="150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（四）国有资产占用情况</w:t>
      </w:r>
    </w:p>
    <w:p>
      <w:pPr>
        <w:ind w:firstLine="640" w:firstLineChars="200"/>
        <w:rPr>
          <w:rFonts w:hint="eastAsia" w:cs="黑体" w:asciiTheme="minorEastAsia" w:hAnsiTheme="minorEastAsia" w:eastAsiaTheme="minorEastAsia"/>
          <w:color w:val="000000"/>
          <w:kern w:val="0"/>
          <w:sz w:val="32"/>
          <w:szCs w:val="32"/>
          <w:lang w:eastAsia="zh-CN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截至2019年12月31日，本单位共有车辆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辆，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全部交接给衡东县公车平台。</w:t>
      </w:r>
    </w:p>
    <w:p>
      <w:pPr>
        <w:widowControl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cs="黑体" w:asciiTheme="minorEastAsia" w:hAnsiTheme="minorEastAsia"/>
          <w:color w:val="000000"/>
          <w:kern w:val="0"/>
          <w:sz w:val="32"/>
          <w:szCs w:val="32"/>
        </w:rPr>
        <w:br w:type="page"/>
      </w: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rFonts w:ascii="黑体" w:eastAsia="黑体" w:cs="黑体"/>
          <w:color w:val="000000"/>
          <w:kern w:val="0"/>
          <w:sz w:val="52"/>
          <w:szCs w:val="52"/>
        </w:rPr>
      </w:pPr>
      <w:r>
        <w:rPr>
          <w:rFonts w:hint="eastAsia"/>
          <w:sz w:val="52"/>
          <w:szCs w:val="52"/>
        </w:rPr>
        <w:t>第</w:t>
      </w:r>
      <w:r>
        <w:rPr>
          <w:rFonts w:hint="eastAsia"/>
          <w:sz w:val="52"/>
          <w:szCs w:val="52"/>
          <w:lang w:val="en-US" w:eastAsia="zh-CN"/>
        </w:rPr>
        <w:t>三</w:t>
      </w:r>
      <w:r>
        <w:rPr>
          <w:rFonts w:hint="eastAsia"/>
          <w:sz w:val="52"/>
          <w:szCs w:val="52"/>
        </w:rPr>
        <w:t>部分</w:t>
      </w:r>
    </w:p>
    <w:p>
      <w:pPr>
        <w:jc w:val="center"/>
        <w:rPr>
          <w:rFonts w:ascii="黑体" w:eastAsia="黑体" w:cs="黑体"/>
          <w:color w:val="000000"/>
          <w:kern w:val="0"/>
          <w:sz w:val="52"/>
          <w:szCs w:val="52"/>
        </w:rPr>
      </w:pPr>
      <w:r>
        <w:rPr>
          <w:rFonts w:hint="eastAsia" w:ascii="黑体" w:eastAsia="黑体" w:cs="黑体"/>
          <w:color w:val="000000"/>
          <w:kern w:val="0"/>
          <w:sz w:val="52"/>
          <w:szCs w:val="52"/>
        </w:rPr>
        <w:t>名词解释</w:t>
      </w:r>
    </w:p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1、一般公共预算:是对以税收为主体的财政收入，安排用于保障和改善民生、推动经济社会发展、维护国家安全、维持国家机构正常运转等方面的收支预算。</w:t>
      </w:r>
    </w:p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2、基本支出：是指为保障单位机构正常运转、完成日常工作任务而发生的各项支出，包括用于基本工资、津贴补贴等人员经费以及办公费、印刷费、水电费、办公设备购置等日常公用经费。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3、项目支出：是指单位为完成财政财务管理工作或事业发展目标而发生的支出。</w:t>
      </w:r>
    </w:p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4、机关运行经费：为保障行政单位（包括参照公务员法管理的事业单位）运行用于购买货物和服务的各项资金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5、“三公”经费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rFonts w:ascii="黑体" w:eastAsia="黑体" w:cs="黑体"/>
          <w:color w:val="000000"/>
          <w:kern w:val="0"/>
          <w:sz w:val="52"/>
          <w:szCs w:val="52"/>
        </w:rPr>
      </w:pPr>
      <w:r>
        <w:rPr>
          <w:rFonts w:hint="eastAsia"/>
          <w:sz w:val="52"/>
          <w:szCs w:val="52"/>
        </w:rPr>
        <w:t>第</w:t>
      </w:r>
      <w:r>
        <w:rPr>
          <w:rFonts w:hint="eastAsia"/>
          <w:sz w:val="52"/>
          <w:szCs w:val="52"/>
          <w:lang w:eastAsia="zh-CN"/>
        </w:rPr>
        <w:t>四</w:t>
      </w:r>
      <w:r>
        <w:rPr>
          <w:rFonts w:hint="eastAsia"/>
          <w:sz w:val="52"/>
          <w:szCs w:val="52"/>
        </w:rPr>
        <w:t>部分</w:t>
      </w:r>
    </w:p>
    <w:p>
      <w:pPr>
        <w:jc w:val="center"/>
        <w:rPr>
          <w:rFonts w:ascii="黑体" w:eastAsia="黑体" w:cs="黑体"/>
          <w:color w:val="000000"/>
          <w:kern w:val="0"/>
          <w:sz w:val="52"/>
          <w:szCs w:val="52"/>
        </w:rPr>
      </w:pPr>
      <w:r>
        <w:rPr>
          <w:rFonts w:hint="eastAsia" w:ascii="黑体" w:eastAsia="黑体" w:cs="黑体"/>
          <w:color w:val="000000"/>
          <w:kern w:val="0"/>
          <w:sz w:val="52"/>
          <w:szCs w:val="52"/>
        </w:rPr>
        <w:t>附件</w:t>
      </w: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>
      <w:pPr>
        <w:ind w:firstLine="1280" w:firstLineChars="400"/>
        <w:jc w:val="both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2019年度部门整体支出绩效评价报告</w:t>
      </w:r>
    </w:p>
    <w:p>
      <w:pPr>
        <w:ind w:firstLine="1920" w:firstLineChars="600"/>
        <w:jc w:val="left"/>
        <w:rPr>
          <w:rFonts w:hint="default" w:cs="黑体" w:asciiTheme="minorEastAsia" w:hAnsiTheme="minorEastAsia" w:eastAsiaTheme="min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本部门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2019年度无整体支出绩效评价考核</w:t>
      </w:r>
    </w:p>
    <w:p>
      <w:pPr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p>
      <w:pPr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p>
      <w:pPr>
        <w:ind w:firstLine="56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hAnsi="仿宋_GB2312"/>
          <w:b/>
          <w:sz w:val="28"/>
          <w:szCs w:val="28"/>
          <w:lang w:val="en-US" w:eastAsia="zh-CN"/>
        </w:rPr>
        <w:t>附：</w:t>
      </w:r>
      <w:r>
        <w:rPr>
          <w:rFonts w:hAnsi="仿宋_GB2312"/>
          <w:b/>
          <w:sz w:val="28"/>
          <w:szCs w:val="28"/>
        </w:rPr>
        <w:t>2019</w:t>
      </w:r>
      <w:r>
        <w:rPr>
          <w:rFonts w:hint="eastAsia" w:hAnsi="仿宋_GB2312"/>
          <w:b/>
          <w:sz w:val="28"/>
          <w:szCs w:val="28"/>
        </w:rPr>
        <w:t>年度部门决算表</w:t>
      </w:r>
    </w:p>
    <w:p>
      <w:pPr>
        <w:ind w:firstLine="64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7925f645-2739-465e-8570-e633ee5e6f23"/>
  </w:docVars>
  <w:rsids>
    <w:rsidRoot w:val="004506F9"/>
    <w:rsid w:val="0002229B"/>
    <w:rsid w:val="000273BD"/>
    <w:rsid w:val="000415B7"/>
    <w:rsid w:val="000658A3"/>
    <w:rsid w:val="00074155"/>
    <w:rsid w:val="000A3F69"/>
    <w:rsid w:val="00152C6D"/>
    <w:rsid w:val="00162D39"/>
    <w:rsid w:val="001A67DB"/>
    <w:rsid w:val="001D51E5"/>
    <w:rsid w:val="001F0C3B"/>
    <w:rsid w:val="00214427"/>
    <w:rsid w:val="00265724"/>
    <w:rsid w:val="0027426B"/>
    <w:rsid w:val="003479BD"/>
    <w:rsid w:val="003768D5"/>
    <w:rsid w:val="004506F9"/>
    <w:rsid w:val="004717A2"/>
    <w:rsid w:val="00491741"/>
    <w:rsid w:val="00500E5F"/>
    <w:rsid w:val="005122EF"/>
    <w:rsid w:val="00517C33"/>
    <w:rsid w:val="00523644"/>
    <w:rsid w:val="0054069E"/>
    <w:rsid w:val="005767CC"/>
    <w:rsid w:val="00590D9F"/>
    <w:rsid w:val="00595D26"/>
    <w:rsid w:val="005A74E6"/>
    <w:rsid w:val="005D4D55"/>
    <w:rsid w:val="005E2CFB"/>
    <w:rsid w:val="0062378F"/>
    <w:rsid w:val="00651EEC"/>
    <w:rsid w:val="006A351B"/>
    <w:rsid w:val="006B0422"/>
    <w:rsid w:val="006C1B53"/>
    <w:rsid w:val="006D7730"/>
    <w:rsid w:val="006E5284"/>
    <w:rsid w:val="006F3EB5"/>
    <w:rsid w:val="00702E34"/>
    <w:rsid w:val="00704395"/>
    <w:rsid w:val="00720FF1"/>
    <w:rsid w:val="00812ED5"/>
    <w:rsid w:val="008277D9"/>
    <w:rsid w:val="008A3E8D"/>
    <w:rsid w:val="009237C4"/>
    <w:rsid w:val="00950252"/>
    <w:rsid w:val="00967F5D"/>
    <w:rsid w:val="009A0F95"/>
    <w:rsid w:val="009B3ADF"/>
    <w:rsid w:val="009C3B52"/>
    <w:rsid w:val="00A42218"/>
    <w:rsid w:val="00A70249"/>
    <w:rsid w:val="00B33BEA"/>
    <w:rsid w:val="00B57C9F"/>
    <w:rsid w:val="00B845B3"/>
    <w:rsid w:val="00B85D8B"/>
    <w:rsid w:val="00BE3674"/>
    <w:rsid w:val="00C3049A"/>
    <w:rsid w:val="00C31B1E"/>
    <w:rsid w:val="00C77645"/>
    <w:rsid w:val="00CE04C3"/>
    <w:rsid w:val="00CE76A0"/>
    <w:rsid w:val="00D148C6"/>
    <w:rsid w:val="00DD06FF"/>
    <w:rsid w:val="00DD5FE9"/>
    <w:rsid w:val="00E00C7A"/>
    <w:rsid w:val="00E55B68"/>
    <w:rsid w:val="00F74360"/>
    <w:rsid w:val="00FB462F"/>
    <w:rsid w:val="00FE16FA"/>
    <w:rsid w:val="00FE328A"/>
    <w:rsid w:val="14FE6AD3"/>
    <w:rsid w:val="174C53BF"/>
    <w:rsid w:val="1EE007A5"/>
    <w:rsid w:val="21AF0A8A"/>
    <w:rsid w:val="2F1513D3"/>
    <w:rsid w:val="32D86B95"/>
    <w:rsid w:val="373C52C6"/>
    <w:rsid w:val="39385991"/>
    <w:rsid w:val="3BF84346"/>
    <w:rsid w:val="48502115"/>
    <w:rsid w:val="5FF028DB"/>
    <w:rsid w:val="69513912"/>
    <w:rsid w:val="6C53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CA967F-99A7-44AE-8CB3-A0222E97AF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3328</Words>
  <Characters>3666</Characters>
  <Lines>59</Lines>
  <Paragraphs>16</Paragraphs>
  <TotalTime>72</TotalTime>
  <ScaleCrop>false</ScaleCrop>
  <LinksUpToDate>false</LinksUpToDate>
  <CharactersWithSpaces>3677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2020-07-02T02:32:00Z</dcterms:created>
  <dc:creator>李航 null</dc:creator>
  <cp:lastModifiedBy>蒋阔</cp:lastModifiedBy>
  <cp:lastPrinted>2020-07-15T07:25:00Z</cp:lastPrinted>
  <dcterms:modified xsi:type="dcterms:W3CDTF">2024-10-15T09:40:52Z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3963FAFA9E604C928B82B7BA2034DD2D</vt:lpwstr>
  </property>
</Properties>
</file>