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bookmarkStart w:id="0" w:name="_GoBack"/>
      <w:bookmarkEnd w:id="0"/>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039"/>
        <w:gridCol w:w="236"/>
        <w:gridCol w:w="42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default" w:eastAsiaTheme="minorEastAsia"/>
                <w:sz w:val="18"/>
                <w:szCs w:val="18"/>
                <w:lang w:val="en-US" w:eastAsia="zh-CN"/>
              </w:rPr>
            </w:pPr>
            <w:r>
              <w:rPr>
                <w:rFonts w:hint="eastAsia"/>
                <w:sz w:val="18"/>
                <w:szCs w:val="18"/>
                <w:lang w:val="en-US" w:eastAsia="zh-CN"/>
              </w:rPr>
              <w:t>中共衡东县委组织部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550.13万元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79"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550.13万元</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317.13万元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233万元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widowControl/>
              <w:rPr>
                <w:rFonts w:hint="eastAsia" w:ascii="宋体" w:hAnsi="宋体" w:eastAsia="宋体" w:cs="宋体"/>
                <w:kern w:val="0"/>
                <w:sz w:val="18"/>
                <w:szCs w:val="18"/>
              </w:rPr>
            </w:pPr>
            <w:r>
              <w:rPr>
                <w:rFonts w:hint="eastAsia" w:ascii="宋体" w:hAnsi="宋体" w:eastAsia="宋体" w:cs="宋体"/>
                <w:kern w:val="0"/>
                <w:sz w:val="18"/>
                <w:szCs w:val="18"/>
              </w:rPr>
              <w:t>（一）负责研究和指导党组织建设，制订加强党的工作制度、党内生活制度建设的规定和意见；会同有关部门对乡镇、机关企事业单位党组织换届选举及党委（党组）民主生活会进行指导；研究、指导党的基层组织建设；研究指导党员队伍建设，主管党员管理和发展工作，指导、协调党员教育工作；组织和开展新时期党的建设理论研究。</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二）负责研究和指导全县非公有制经济组织和社会组织党组织建设；开展党建调研和理论探索，研究制定加强非公有制经济组织和社会组织党建工作的政策、规划和考评体系；负责制定全县非公有制经济组织和社会组织年度党建工作要点、实施方案，并组织实施。</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（三）负责全县党代表联络工作的综合协调和宏观指导；负责全县</w:t>
            </w:r>
            <w:r>
              <w:rPr>
                <w:rFonts w:hint="eastAsia" w:ascii="宋体" w:hAnsi="宋体" w:eastAsia="宋体" w:cs="宋体"/>
                <w:kern w:val="0"/>
                <w:sz w:val="18"/>
                <w:szCs w:val="18"/>
                <w:lang w:eastAsia="zh-CN"/>
              </w:rPr>
              <w:t>国家、省、市</w:t>
            </w:r>
            <w:r>
              <w:rPr>
                <w:rFonts w:hint="eastAsia" w:ascii="宋体" w:hAnsi="宋体" w:eastAsia="宋体" w:cs="宋体"/>
                <w:kern w:val="0"/>
                <w:sz w:val="18"/>
                <w:szCs w:val="18"/>
              </w:rPr>
              <w:t>、县党代表大会代表选举、联络和服务工作；承办和督办县党代表提案、提议、询问等有关事项。</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（四）负责干部队伍建设的宏观管理，制订和参与制订干部人事工作的重要政策、法规、制度，并对典型经验进行总结推介。</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五）提出县委管理的领导班子调整、配备的意见和建议；负责县委管理干部的考察、任免、工资、待遇、出国（境）、退（离）休审批手续；负责县、乡（镇）领导班子换届选举和届中调整的有关工作；负责全县科级干部公开选拔工作和事业单位人员招聘工作的宏观指导；负责干部援疆的有关工作；拟订领导班子和领导干部队伍建设规划，并组织实施；负责对全县股级干部的宏观管理；负责全县培养选拔年轻干部、后备干部、女干部、少数民族干部和党外干部工作的宏观指导和协调工作；指导县管领导班子的思想作风建设。</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六）负责全县公务员队伍建设的规划研究和宏观指导；督查公务员法律、政策法规执行情况；按管理权限组织开展全县公务员职位分类管理、职务与职级并行、聘任制公务员管理等工作；负责各级人民团体、群众团体机关和事业单位参照公务员法管理工作；统筹协调全县公务员（参照公务员）考录、遴选、公开选调、转任、调任、登记、辞职、辞退工作；负责干部考核评价工作的政策研究和宏观指导；组织实施公务员工资福利政策；承担以县公务员局名义开展的行政复议和行政应诉及对外交流有关工作。</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七）负责全县组织系统信息化建设的统筹规划和组织实施；负责公务员管理信息化建设；负责全县干部人事档案、党内统计、干部统计工作的宏观管理和业务指导；负责管理县管干部和县委委托管理干部档案，承担县管干部档案查借阅、学历学位审核认证等服务工作。</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八）负责对贯彻执行《党政领导干部选拔任用工作条例》及有关党内法规的情况进行监督检查，及时向市委组织部和县委反映重要情况；负责对反映县管领导班子和领导干部的重要问题进行调查了解和督办查处，研究提出有关干部监督管理的法规、制度，对有关监督制度的落实情况进行督查；依法对全县公务员实施监督；对县管干部的历史遗留问题进行初审和审查。</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（九）制订干部教育工作的政策、规划，组织、协调县管干部和部分中青年干部的培训；指导、协调、检查全县的干部教育工作。</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（十）牵头抓总，抓好人才资源的开发和管理，做好培养、吸引和用好各方面人才的工作，研究制定人才队伍建设规划、政策、规定，指导、协调、检查全县人才工作；指导各行业优秀专家和学者开展有关活动。</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（十一）负责贯彻落实上级有关老干部工作的方针、政策、法规，组织、协助、指导全县各单位做好退（离）休老干部管理、服务工作。</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（十二）统一管理县委机构编制委员会办公室。</w:t>
            </w:r>
          </w:p>
          <w:p>
            <w:pPr>
              <w:jc w:val="both"/>
              <w:rPr>
                <w:rFonts w:hint="eastAsia" w:ascii="宋体" w:hAnsi="宋体" w:eastAsia="宋体" w:cs="宋体"/>
                <w:sz w:val="18"/>
                <w:szCs w:val="18"/>
                <w:lang w:val="en-US" w:eastAsia="zh-CN"/>
              </w:rPr>
            </w:pPr>
            <w:r>
              <w:rPr>
                <w:rFonts w:hint="eastAsia" w:ascii="宋体" w:hAnsi="宋体" w:eastAsia="宋体" w:cs="宋体"/>
                <w:kern w:val="0"/>
                <w:sz w:val="18"/>
                <w:szCs w:val="18"/>
              </w:rPr>
              <w:t>（十三）承办县委和上级组织部门交办的其他事项。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left"/>
              <w:rPr>
                <w:rFonts w:hint="eastAsia" w:ascii="宋体" w:hAnsi="宋体" w:eastAsia="宋体" w:cs="宋体"/>
                <w:sz w:val="18"/>
                <w:szCs w:val="18"/>
              </w:rPr>
            </w:pPr>
            <w:r>
              <w:rPr>
                <w:rFonts w:hint="eastAsia" w:ascii="宋体" w:hAnsi="宋体" w:eastAsia="宋体" w:cs="宋体"/>
                <w:kern w:val="0"/>
                <w:sz w:val="18"/>
                <w:szCs w:val="18"/>
              </w:rPr>
              <w:t>通过预算执行，保障单位履职、运转。统筹推进全县组织工作，负责研究和指导党组织建设、干部队伍建设的宏观管理、全县公务员队伍建设的规划研究和宏观指导等工作，为县委、县政府提供决策参考依据。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6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61" w:type="dxa"/>
            <w:gridSpan w:val="2"/>
            <w:vAlign w:val="center"/>
          </w:tcPr>
          <w:p>
            <w:pPr>
              <w:jc w:val="center"/>
              <w:rPr>
                <w:rFonts w:hint="eastAsia"/>
                <w:sz w:val="18"/>
                <w:szCs w:val="18"/>
                <w:lang w:val="en-US" w:eastAsia="zh-CN"/>
              </w:rPr>
            </w:pPr>
            <w:r>
              <w:rPr>
                <w:rFonts w:hint="eastAsia"/>
                <w:sz w:val="18"/>
                <w:szCs w:val="18"/>
              </w:rPr>
              <w:t>财政供养人员</w:t>
            </w:r>
          </w:p>
        </w:tc>
        <w:tc>
          <w:tcPr>
            <w:tcW w:w="236" w:type="dxa"/>
            <w:tcBorders>
              <w:right w:val="nil"/>
            </w:tcBorders>
            <w:vAlign w:val="center"/>
          </w:tcPr>
          <w:p>
            <w:pPr>
              <w:jc w:val="center"/>
              <w:rPr>
                <w:rFonts w:hint="eastAsia"/>
                <w:sz w:val="18"/>
                <w:szCs w:val="18"/>
              </w:rPr>
            </w:pPr>
          </w:p>
        </w:tc>
        <w:tc>
          <w:tcPr>
            <w:tcW w:w="2404" w:type="dxa"/>
            <w:gridSpan w:val="2"/>
            <w:tcBorders>
              <w:top w:val="nil"/>
              <w:left w:val="nil"/>
              <w:right w:val="single" w:color="auto" w:sz="4" w:space="0"/>
            </w:tcBorders>
            <w:vAlign w:val="center"/>
          </w:tcPr>
          <w:p>
            <w:pPr>
              <w:jc w:val="center"/>
              <w:rPr>
                <w:rFonts w:hint="default"/>
                <w:sz w:val="18"/>
                <w:szCs w:val="18"/>
                <w:lang w:val="en-US" w:eastAsia="zh-CN"/>
              </w:rPr>
            </w:pPr>
            <w:r>
              <w:rPr>
                <w:rFonts w:hint="eastAsia"/>
                <w:sz w:val="18"/>
                <w:szCs w:val="18"/>
                <w:lang w:val="en-US" w:eastAsia="zh-CN"/>
              </w:rPr>
              <w:t>28人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lang w:val="en-US" w:eastAsia="zh-CN"/>
              </w:rPr>
            </w:pPr>
            <w:r>
              <w:rPr>
                <w:rFonts w:hint="eastAsia"/>
                <w:sz w:val="18"/>
                <w:szCs w:val="18"/>
              </w:rPr>
              <w:t>部门单位履职、运转</w:t>
            </w:r>
          </w:p>
        </w:tc>
        <w:tc>
          <w:tcPr>
            <w:tcW w:w="2640" w:type="dxa"/>
            <w:gridSpan w:val="3"/>
            <w:tcBorders>
              <w:bottom w:val="single" w:color="auto" w:sz="4" w:space="0"/>
            </w:tcBorders>
            <w:vAlign w:val="center"/>
          </w:tcPr>
          <w:p>
            <w:pPr>
              <w:jc w:val="center"/>
              <w:rPr>
                <w:rFonts w:hint="default"/>
                <w:sz w:val="18"/>
                <w:szCs w:val="18"/>
                <w:lang w:val="en-US" w:eastAsia="zh-CN"/>
              </w:rPr>
            </w:pPr>
            <w:r>
              <w:rPr>
                <w:rFonts w:hint="eastAsia"/>
                <w:sz w:val="18"/>
                <w:szCs w:val="18"/>
                <w:lang w:val="en-US"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61" w:type="dxa"/>
            <w:gridSpan w:val="2"/>
            <w:vAlign w:val="center"/>
          </w:tcPr>
          <w:p>
            <w:pPr>
              <w:jc w:val="center"/>
              <w:rPr>
                <w:rFonts w:hint="eastAsia"/>
                <w:sz w:val="18"/>
                <w:szCs w:val="18"/>
                <w:lang w:val="en-US" w:eastAsia="zh-CN"/>
              </w:rPr>
            </w:pPr>
            <w:r>
              <w:rPr>
                <w:rFonts w:hint="eastAsia"/>
                <w:sz w:val="18"/>
                <w:szCs w:val="18"/>
              </w:rPr>
              <w:t>在职人员控制率</w:t>
            </w:r>
          </w:p>
        </w:tc>
        <w:tc>
          <w:tcPr>
            <w:tcW w:w="2640" w:type="dxa"/>
            <w:gridSpan w:val="3"/>
            <w:tcBorders>
              <w:top w:val="single" w:color="auto" w:sz="4" w:space="0"/>
            </w:tcBorders>
            <w:vAlign w:val="center"/>
          </w:tcPr>
          <w:p>
            <w:pPr>
              <w:jc w:val="center"/>
              <w:rPr>
                <w:rFonts w:hint="eastAsia"/>
                <w:sz w:val="18"/>
                <w:szCs w:val="18"/>
                <w:lang w:val="en-US" w:eastAsia="zh-CN"/>
              </w:rPr>
            </w:pPr>
            <w:r>
              <w:rPr>
                <w:rFonts w:hint="eastAsia"/>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lang w:val="en-US" w:eastAsia="zh-CN"/>
              </w:rPr>
            </w:pPr>
            <w:r>
              <w:rPr>
                <w:rFonts w:hint="eastAsia"/>
                <w:sz w:val="18"/>
                <w:szCs w:val="18"/>
              </w:rPr>
              <w:t>公用经费控制率</w:t>
            </w:r>
          </w:p>
        </w:tc>
        <w:tc>
          <w:tcPr>
            <w:tcW w:w="2640" w:type="dxa"/>
            <w:gridSpan w:val="3"/>
            <w:vAlign w:val="center"/>
          </w:tcPr>
          <w:p>
            <w:pPr>
              <w:jc w:val="center"/>
              <w:rPr>
                <w:rFonts w:hint="eastAsia"/>
                <w:sz w:val="18"/>
                <w:szCs w:val="18"/>
                <w:lang w:val="en-US" w:eastAsia="zh-CN"/>
              </w:rPr>
            </w:pPr>
            <w:r>
              <w:rPr>
                <w:rFonts w:hint="eastAsia"/>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161" w:type="dxa"/>
            <w:gridSpan w:val="2"/>
            <w:vAlign w:val="center"/>
          </w:tcPr>
          <w:p>
            <w:pPr>
              <w:jc w:val="center"/>
              <w:rPr>
                <w:rFonts w:hint="eastAsia"/>
                <w:sz w:val="18"/>
                <w:szCs w:val="18"/>
                <w:lang w:val="en-US" w:eastAsia="zh-CN"/>
              </w:rPr>
            </w:pPr>
            <w:r>
              <w:rPr>
                <w:rFonts w:hint="eastAsia"/>
                <w:sz w:val="18"/>
                <w:szCs w:val="18"/>
              </w:rPr>
              <w:t>保障财政供养人员</w:t>
            </w:r>
          </w:p>
        </w:tc>
        <w:tc>
          <w:tcPr>
            <w:tcW w:w="2640" w:type="dxa"/>
            <w:gridSpan w:val="3"/>
            <w:vAlign w:val="center"/>
          </w:tcPr>
          <w:p>
            <w:pPr>
              <w:jc w:val="center"/>
              <w:rPr>
                <w:rFonts w:hint="default"/>
                <w:sz w:val="18"/>
                <w:szCs w:val="18"/>
                <w:lang w:val="en-US" w:eastAsia="zh-CN"/>
              </w:rPr>
            </w:pPr>
            <w:r>
              <w:rPr>
                <w:rFonts w:hint="eastAsia"/>
                <w:sz w:val="18"/>
                <w:szCs w:val="18"/>
                <w:lang w:val="en-US" w:eastAsia="zh-CN"/>
              </w:rPr>
              <w:t>≤278.99万元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lang w:val="en-US" w:eastAsia="zh-CN"/>
              </w:rPr>
            </w:pPr>
            <w:r>
              <w:rPr>
                <w:rFonts w:hint="eastAsia"/>
                <w:sz w:val="18"/>
                <w:szCs w:val="18"/>
              </w:rPr>
              <w:t>保证单位正常运转</w:t>
            </w:r>
          </w:p>
        </w:tc>
        <w:tc>
          <w:tcPr>
            <w:tcW w:w="2640" w:type="dxa"/>
            <w:gridSpan w:val="3"/>
            <w:vAlign w:val="center"/>
          </w:tcPr>
          <w:p>
            <w:pPr>
              <w:jc w:val="center"/>
              <w:rPr>
                <w:rFonts w:hint="eastAsia"/>
                <w:sz w:val="18"/>
                <w:szCs w:val="18"/>
              </w:rPr>
            </w:pPr>
            <w:r>
              <w:rPr>
                <w:rFonts w:hint="eastAsia"/>
                <w:sz w:val="18"/>
                <w:szCs w:val="18"/>
                <w:lang w:val="en-US" w:eastAsia="zh-CN"/>
              </w:rPr>
              <w:t>≤38.14万元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161" w:type="dxa"/>
            <w:gridSpan w:val="2"/>
            <w:vAlign w:val="center"/>
          </w:tcPr>
          <w:p>
            <w:pPr>
              <w:jc w:val="center"/>
              <w:rPr>
                <w:rFonts w:hint="default"/>
                <w:sz w:val="18"/>
                <w:szCs w:val="18"/>
                <w:lang w:val="en-US" w:eastAsia="zh-CN"/>
              </w:rPr>
            </w:pPr>
            <w:r>
              <w:rPr>
                <w:rFonts w:hint="eastAsia"/>
                <w:sz w:val="18"/>
                <w:szCs w:val="18"/>
                <w:lang w:val="en-US" w:eastAsia="zh-CN"/>
              </w:rPr>
              <w:t>预算完成率</w:t>
            </w:r>
          </w:p>
        </w:tc>
        <w:tc>
          <w:tcPr>
            <w:tcW w:w="2640" w:type="dxa"/>
            <w:gridSpan w:val="3"/>
            <w:vAlign w:val="center"/>
          </w:tcPr>
          <w:p>
            <w:pPr>
              <w:jc w:val="center"/>
              <w:rPr>
                <w:rFonts w:hint="default"/>
                <w:sz w:val="18"/>
                <w:szCs w:val="18"/>
                <w:lang w:val="en-US" w:eastAsia="zh-CN"/>
              </w:rPr>
            </w:pPr>
            <w:r>
              <w:rPr>
                <w:rFonts w:hint="eastAsia"/>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rPr>
            </w:pPr>
            <w:r>
              <w:rPr>
                <w:rFonts w:hint="eastAsia"/>
                <w:sz w:val="18"/>
                <w:szCs w:val="18"/>
              </w:rPr>
              <w:t>完成单位职责及上级交办的各项任务时限</w:t>
            </w:r>
          </w:p>
        </w:tc>
        <w:tc>
          <w:tcPr>
            <w:tcW w:w="2640" w:type="dxa"/>
            <w:gridSpan w:val="3"/>
            <w:vAlign w:val="center"/>
          </w:tcPr>
          <w:p>
            <w:pPr>
              <w:jc w:val="center"/>
              <w:rPr>
                <w:rFonts w:hint="eastAsia"/>
                <w:sz w:val="18"/>
                <w:szCs w:val="18"/>
              </w:rPr>
            </w:pPr>
            <w:r>
              <w:rPr>
                <w:rFonts w:hint="eastAsia"/>
                <w:sz w:val="18"/>
                <w:szCs w:val="18"/>
              </w:rPr>
              <w:t>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61" w:hRule="atLeast"/>
        </w:trPr>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效益指标</w:t>
            </w:r>
          </w:p>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经济效</w:t>
            </w:r>
          </w:p>
          <w:p>
            <w:pPr>
              <w:jc w:val="center"/>
              <w:rPr>
                <w:rFonts w:hint="eastAsia"/>
                <w:sz w:val="18"/>
                <w:szCs w:val="18"/>
              </w:rPr>
            </w:pPr>
            <w:r>
              <w:rPr>
                <w:rFonts w:hint="eastAsia"/>
                <w:sz w:val="18"/>
                <w:szCs w:val="18"/>
              </w:rPr>
              <w:t>率指标</w:t>
            </w:r>
          </w:p>
        </w:tc>
        <w:tc>
          <w:tcPr>
            <w:tcW w:w="2161" w:type="dxa"/>
            <w:gridSpan w:val="2"/>
            <w:vAlign w:val="center"/>
          </w:tcPr>
          <w:p>
            <w:pPr>
              <w:jc w:val="center"/>
              <w:rPr>
                <w:rFonts w:hint="eastAsia"/>
                <w:sz w:val="18"/>
                <w:szCs w:val="18"/>
                <w:lang w:val="en-US" w:eastAsia="zh-CN"/>
              </w:rPr>
            </w:pPr>
            <w:r>
              <w:rPr>
                <w:rFonts w:hint="eastAsia"/>
                <w:sz w:val="18"/>
                <w:szCs w:val="18"/>
              </w:rPr>
              <w:t>全县非公有制经济组织和社会组织党组织建设</w:t>
            </w:r>
          </w:p>
        </w:tc>
        <w:tc>
          <w:tcPr>
            <w:tcW w:w="2640" w:type="dxa"/>
            <w:gridSpan w:val="3"/>
            <w:vAlign w:val="center"/>
          </w:tcPr>
          <w:p>
            <w:pPr>
              <w:jc w:val="center"/>
              <w:rPr>
                <w:rFonts w:hint="eastAsia"/>
                <w:sz w:val="18"/>
                <w:szCs w:val="18"/>
                <w:lang w:val="en-US" w:eastAsia="zh-CN"/>
              </w:rPr>
            </w:pPr>
            <w:r>
              <w:rPr>
                <w:rFonts w:hint="eastAsia"/>
                <w:sz w:val="18"/>
                <w:szCs w:val="18"/>
              </w:rPr>
              <w:t>持续推进</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2161" w:type="dxa"/>
            <w:gridSpan w:val="2"/>
            <w:vAlign w:val="center"/>
          </w:tcPr>
          <w:p>
            <w:pPr>
              <w:jc w:val="center"/>
              <w:rPr>
                <w:rFonts w:hint="eastAsia"/>
                <w:sz w:val="18"/>
                <w:szCs w:val="18"/>
                <w:lang w:val="en-US" w:eastAsia="zh-CN"/>
              </w:rPr>
            </w:pPr>
            <w:r>
              <w:rPr>
                <w:rFonts w:hint="eastAsia"/>
                <w:sz w:val="18"/>
                <w:szCs w:val="18"/>
              </w:rPr>
              <w:t>组织工作宣传覆盖率</w:t>
            </w:r>
          </w:p>
        </w:tc>
        <w:tc>
          <w:tcPr>
            <w:tcW w:w="2640" w:type="dxa"/>
            <w:gridSpan w:val="3"/>
            <w:vAlign w:val="center"/>
          </w:tcPr>
          <w:p>
            <w:pPr>
              <w:jc w:val="center"/>
              <w:rPr>
                <w:rFonts w:hint="eastAsia"/>
                <w:sz w:val="18"/>
                <w:szCs w:val="18"/>
                <w:lang w:val="en-US" w:eastAsia="zh-CN"/>
              </w:rPr>
            </w:pPr>
            <w:r>
              <w:rPr>
                <w:rFonts w:hint="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7"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2161" w:type="dxa"/>
            <w:gridSpan w:val="2"/>
            <w:vAlign w:val="center"/>
          </w:tcPr>
          <w:p>
            <w:pPr>
              <w:jc w:val="center"/>
              <w:rPr>
                <w:rFonts w:hint="eastAsia"/>
                <w:sz w:val="18"/>
                <w:szCs w:val="18"/>
                <w:lang w:val="en-US" w:eastAsia="zh-CN"/>
              </w:rPr>
            </w:pPr>
            <w:r>
              <w:rPr>
                <w:rFonts w:hint="eastAsia"/>
                <w:sz w:val="18"/>
                <w:szCs w:val="18"/>
                <w:lang w:eastAsia="zh-CN"/>
              </w:rPr>
              <w:t>党员教育设备使用年限</w:t>
            </w:r>
          </w:p>
        </w:tc>
        <w:tc>
          <w:tcPr>
            <w:tcW w:w="2640" w:type="dxa"/>
            <w:gridSpan w:val="3"/>
            <w:vAlign w:val="center"/>
          </w:tcPr>
          <w:p>
            <w:pPr>
              <w:jc w:val="center"/>
              <w:rPr>
                <w:rFonts w:hint="eastAsia"/>
                <w:sz w:val="18"/>
                <w:szCs w:val="18"/>
                <w:lang w:val="en-US" w:eastAsia="zh-CN"/>
              </w:rPr>
            </w:pPr>
            <w:r>
              <w:rPr>
                <w:rFonts w:hint="eastAsia"/>
                <w:sz w:val="18"/>
                <w:szCs w:val="18"/>
                <w:lang w:eastAsia="zh-CN"/>
              </w:rPr>
              <w:t>≥</w:t>
            </w:r>
            <w:r>
              <w:rPr>
                <w:rFonts w:hint="eastAsia"/>
                <w:sz w:val="18"/>
                <w:szCs w:val="18"/>
                <w:lang w:val="en-US" w:eastAsia="zh-CN"/>
              </w:rPr>
              <w:t>10年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sz w:val="18"/>
                <w:szCs w:val="18"/>
              </w:rPr>
            </w:pPr>
            <w:r>
              <w:rPr>
                <w:rFonts w:hint="eastAsia"/>
                <w:sz w:val="18"/>
                <w:szCs w:val="18"/>
                <w:lang w:eastAsia="zh-CN"/>
              </w:rPr>
              <w:t>对象满意度</w:t>
            </w:r>
          </w:p>
        </w:tc>
        <w:tc>
          <w:tcPr>
            <w:tcW w:w="2161" w:type="dxa"/>
            <w:gridSpan w:val="2"/>
            <w:vAlign w:val="center"/>
          </w:tcPr>
          <w:p>
            <w:pPr>
              <w:jc w:val="center"/>
              <w:rPr>
                <w:rFonts w:hint="eastAsia"/>
                <w:sz w:val="18"/>
                <w:szCs w:val="18"/>
                <w:lang w:val="en-US" w:eastAsia="zh-CN"/>
              </w:rPr>
            </w:pPr>
            <w:r>
              <w:rPr>
                <w:rFonts w:hint="eastAsia"/>
                <w:sz w:val="18"/>
                <w:szCs w:val="18"/>
              </w:rPr>
              <w:t>社会公众满意度</w:t>
            </w:r>
          </w:p>
        </w:tc>
        <w:tc>
          <w:tcPr>
            <w:tcW w:w="2640" w:type="dxa"/>
            <w:gridSpan w:val="3"/>
            <w:vAlign w:val="center"/>
          </w:tcPr>
          <w:p>
            <w:pPr>
              <w:jc w:val="center"/>
              <w:rPr>
                <w:rFonts w:hint="eastAsia"/>
                <w:sz w:val="18"/>
                <w:szCs w:val="18"/>
                <w:lang w:val="en-US" w:eastAsia="zh-CN"/>
              </w:rPr>
            </w:pPr>
            <w:r>
              <w:rPr>
                <w:rFonts w:hint="eastAsia"/>
                <w:sz w:val="18"/>
                <w:szCs w:val="18"/>
              </w:rPr>
              <w:t>≥9</w:t>
            </w:r>
            <w:r>
              <w:rPr>
                <w:rFonts w:hint="eastAsia"/>
                <w:sz w:val="18"/>
                <w:szCs w:val="18"/>
                <w:lang w:val="en-US" w:eastAsia="zh-CN"/>
              </w:rPr>
              <w:t>8</w:t>
            </w:r>
            <w:r>
              <w:rPr>
                <w:rFonts w:hint="eastAsia"/>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jc w:val="left"/>
        <w:rPr>
          <w:rFonts w:hint="eastAsia" w:ascii="宋体" w:hAnsi="宋体" w:eastAsia="宋体" w:cs="宋体"/>
          <w:sz w:val="21"/>
          <w:szCs w:val="21"/>
          <w:lang w:val="en-US" w:eastAsia="zh-CN"/>
        </w:rPr>
      </w:pPr>
      <w:r>
        <w:rPr>
          <w:rFonts w:hint="eastAsia" w:ascii="宋体" w:hAnsi="宋体" w:eastAsia="宋体" w:cs="宋体"/>
          <w:sz w:val="21"/>
          <w:szCs w:val="21"/>
          <w:lang w:eastAsia="zh-CN"/>
        </w:rPr>
        <w:t>填表人</w:t>
      </w:r>
      <w:r>
        <w:rPr>
          <w:rFonts w:hint="eastAsia" w:ascii="宋体" w:hAnsi="宋体" w:eastAsia="宋体" w:cs="宋体"/>
          <w:sz w:val="21"/>
          <w:szCs w:val="21"/>
          <w:lang w:val="en-US" w:eastAsia="zh-CN"/>
        </w:rPr>
        <w:t>:周翼康 联系电话:18711489110  填报日期:2022.3.26 单位负责人签字:</w:t>
      </w:r>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bf7d6a93-6828-44e0-90de-350d92cf8c39"/>
  </w:docVars>
  <w:rsids>
    <w:rsidRoot w:val="25E26C38"/>
    <w:rsid w:val="076E386F"/>
    <w:rsid w:val="15DC6E6E"/>
    <w:rsid w:val="186C16C7"/>
    <w:rsid w:val="25E26C38"/>
    <w:rsid w:val="2B17347C"/>
    <w:rsid w:val="4DBE5EA9"/>
    <w:rsid w:val="51B57623"/>
    <w:rsid w:val="5BD33524"/>
    <w:rsid w:val="654C606B"/>
    <w:rsid w:val="6CBD1E1F"/>
    <w:rsid w:val="71BD102D"/>
    <w:rsid w:val="7A595B05"/>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1885</Words>
  <Characters>1949</Characters>
  <Lines>0</Lines>
  <Paragraphs>0</Paragraphs>
  <TotalTime>1</TotalTime>
  <ScaleCrop>false</ScaleCrop>
  <LinksUpToDate>false</LinksUpToDate>
  <CharactersWithSpaces>1955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蒋阔</cp:lastModifiedBy>
  <dcterms:modified xsi:type="dcterms:W3CDTF">2024-10-22T03:19:24Z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73198BD992944E6B93A49E25959B351D</vt:lpwstr>
  </property>
</Properties>
</file>