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ind w:firstLine="723" w:firstLineChars="300"/>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kern w:val="0"/>
          <w:szCs w:val="21"/>
        </w:rPr>
        <w:t>衡东县</w:t>
      </w:r>
      <w:r>
        <w:rPr>
          <w:rFonts w:hint="eastAsia" w:ascii="仿宋_GB2312" w:eastAsia="仿宋_GB2312"/>
          <w:kern w:val="0"/>
          <w:szCs w:val="21"/>
          <w:lang w:eastAsia="zh-CN"/>
        </w:rPr>
        <w:t>供销合作社联合社</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bookmarkStart w:id="0" w:name="_GoBack"/>
      <w:bookmarkEnd w:id="0"/>
    </w:p>
    <w:tbl>
      <w:tblPr>
        <w:tblStyle w:val="4"/>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40"/>
        <w:gridCol w:w="794"/>
        <w:gridCol w:w="1829"/>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衡东县供销合作社联合社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345.37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345.37</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315.37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9"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widowControl/>
              <w:jc w:val="left"/>
              <w:rPr>
                <w:rFonts w:hint="eastAsia" w:ascii="仿宋_GB2312" w:eastAsia="仿宋_GB2312"/>
                <w:kern w:val="0"/>
                <w:szCs w:val="21"/>
                <w:lang w:val="en-US" w:eastAsia="zh-CN"/>
              </w:rPr>
            </w:pP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1、贯彻执行党中央、国务院、省、市、县有关供销社改革发展的路线、政策和法规。负责制定全县供销合作社改革和发展规划并组织具体实施。</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2、负责建设全县农村现代商品流通体系。主要发展农业生产资料、农村日用消费品（含图书、药品）农副产品现代购销、再生资源回收利用和烟花爆竹归口经营。</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3、负责建立新型完整的为农服务体系，采取创办、领办、联办等形式发展农村专业合作社，创办农产品基地，组建有关行业协会。负责在全县农村社区建立主题多元、功能完备，便民实用的综合服务中心。</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4、指导全县供销合作社系统做大做强社有企业，培育参股控股各类龙头企业，推进社有企业健全现代企业制度，推动社有企业参与农业产业化、标准化示范、农业技术研发推广等项目，积极探索适合当地农村发展新的金融产品和服务方式。</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5、会同有关部门参与全县农村商品流通及市场体系建设的规划编制及修订；参与有关农业生产资料和烟花爆竹行业的市场管理；参与管理指导农村专业合作社、行业协会、农产品经纪人队伍的建设；参与管理指导全县再生资源回收利用市场体系建设。</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6、指导和监督供销合作社系统的资产管理，确保社有资产的保值增值，依法依规维护供销社的合法权益。</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7、指导供销合作社系统的科技开发和有关科技成果的转化及推广工作，推进科技兴社。</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8、指导供销合作社系统通过各种措施加强人才队伍建设，实施人才兴社战略，优化干部职工知识和年龄结构。</w:t>
            </w:r>
          </w:p>
          <w:p>
            <w:pPr>
              <w:widowControl/>
              <w:spacing w:line="240" w:lineRule="auto"/>
              <w:jc w:val="left"/>
              <w:rPr>
                <w:rFonts w:hint="eastAsia" w:ascii="仿宋_GB2312" w:eastAsia="仿宋_GB2312"/>
                <w:kern w:val="0"/>
                <w:szCs w:val="21"/>
                <w:lang w:val="en-US" w:eastAsia="zh-CN"/>
              </w:rPr>
            </w:pPr>
            <w:r>
              <w:rPr>
                <w:rFonts w:hint="eastAsia" w:ascii="仿宋_GB2312" w:eastAsia="仿宋_GB2312"/>
                <w:kern w:val="0"/>
                <w:szCs w:val="21"/>
                <w:lang w:val="en-US" w:eastAsia="zh-CN"/>
              </w:rPr>
              <w:t>9、承办县人民政府交办的其他事项。</w:t>
            </w: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jc w:val="left"/>
              <w:rPr>
                <w:rFonts w:hint="eastAsia"/>
              </w:rPr>
            </w:pPr>
          </w:p>
          <w:p>
            <w:pPr>
              <w:widowControl/>
              <w:jc w:val="left"/>
              <w:rPr>
                <w:rFonts w:hint="eastAsia" w:ascii="仿宋_GB2312" w:eastAsia="仿宋_GB2312"/>
                <w:kern w:val="0"/>
                <w:szCs w:val="21"/>
                <w:lang w:val="en-US" w:eastAsia="zh-CN"/>
              </w:rPr>
            </w:pPr>
            <w:r>
              <w:rPr>
                <w:rFonts w:hint="eastAsia" w:ascii="仿宋_GB2312" w:eastAsia="仿宋_GB2312"/>
                <w:kern w:val="0"/>
                <w:szCs w:val="21"/>
              </w:rPr>
              <w:t>通过预算执行，</w:t>
            </w:r>
            <w:r>
              <w:rPr>
                <w:rFonts w:hint="eastAsia" w:ascii="仿宋_GB2312" w:eastAsia="仿宋_GB2312"/>
                <w:kern w:val="0"/>
                <w:szCs w:val="21"/>
                <w:lang w:eastAsia="zh-CN"/>
              </w:rPr>
              <w:t>保障单位履职</w:t>
            </w:r>
            <w:r>
              <w:rPr>
                <w:rFonts w:hint="eastAsia" w:ascii="仿宋_GB2312" w:eastAsia="仿宋_GB2312"/>
                <w:kern w:val="0"/>
                <w:szCs w:val="21"/>
                <w:lang w:val="en-US" w:eastAsia="zh-CN"/>
              </w:rPr>
              <w:t>,运转，积极推进项目建设,充分发挥管理、服务、协调作用,收集信息提出建议,为县委、县政府提供决策参考依据.</w:t>
            </w: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40"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2623"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1912"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40"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_GB2312" w:eastAsia="仿宋_GB2312"/>
                <w:kern w:val="0"/>
                <w:szCs w:val="21"/>
              </w:rPr>
              <w:t>本单位财政供养人员</w:t>
            </w:r>
          </w:p>
        </w:tc>
        <w:tc>
          <w:tcPr>
            <w:tcW w:w="1912" w:type="dxa"/>
            <w:vAlign w:val="center"/>
          </w:tcPr>
          <w:p>
            <w:pPr>
              <w:jc w:val="center"/>
              <w:rPr>
                <w:rFonts w:hint="eastAsia" w:ascii="仿宋" w:hAnsi="仿宋" w:eastAsia="仿宋" w:cs="仿宋"/>
                <w:snapToGrid w:val="0"/>
                <w:color w:val="000000"/>
                <w:kern w:val="0"/>
                <w:sz w:val="21"/>
                <w:szCs w:val="21"/>
              </w:rPr>
            </w:pPr>
            <w:r>
              <w:rPr>
                <w:rFonts w:hint="eastAsia" w:ascii="仿宋_GB2312" w:eastAsia="仿宋_GB2312"/>
                <w:kern w:val="0"/>
                <w:szCs w:val="21"/>
              </w:rPr>
              <w:t>在职人数</w:t>
            </w:r>
            <w:r>
              <w:rPr>
                <w:rFonts w:hint="eastAsia" w:ascii="仿宋_GB2312" w:eastAsia="仿宋_GB2312"/>
                <w:kern w:val="0"/>
                <w:szCs w:val="21"/>
                <w:lang w:val="en-US" w:eastAsia="zh-CN"/>
              </w:rPr>
              <w:t>23</w:t>
            </w:r>
            <w:r>
              <w:rPr>
                <w:rFonts w:hint="eastAsia" w:ascii="仿宋_GB2312" w:eastAsia="仿宋_GB2312"/>
                <w:kern w:val="0"/>
                <w:szCs w:val="21"/>
              </w:rPr>
              <w:t>人，</w:t>
            </w:r>
            <w:r>
              <w:rPr>
                <w:rFonts w:hint="eastAsia" w:ascii="仿宋_GB2312" w:eastAsia="仿宋_GB2312"/>
                <w:kern w:val="0"/>
                <w:szCs w:val="21"/>
                <w:lang w:eastAsia="zh-CN"/>
              </w:rPr>
              <w:t>离</w:t>
            </w:r>
            <w:r>
              <w:rPr>
                <w:rFonts w:hint="eastAsia" w:ascii="仿宋_GB2312" w:eastAsia="仿宋_GB2312"/>
                <w:kern w:val="0"/>
                <w:szCs w:val="21"/>
              </w:rPr>
              <w:t>退休人员</w:t>
            </w:r>
            <w:r>
              <w:rPr>
                <w:rFonts w:hint="eastAsia" w:ascii="仿宋_GB2312" w:eastAsia="仿宋_GB2312"/>
                <w:kern w:val="0"/>
                <w:szCs w:val="21"/>
                <w:lang w:val="en-US" w:eastAsia="zh-CN"/>
              </w:rPr>
              <w:t>26</w:t>
            </w:r>
            <w:r>
              <w:rPr>
                <w:rFonts w:hint="eastAsia" w:ascii="仿宋_GB2312" w:eastAsia="仿宋_GB2312"/>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Merge w:val="continue"/>
            <w:vAlign w:val="center"/>
          </w:tcPr>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部门单位履职、运转</w:t>
            </w:r>
          </w:p>
        </w:tc>
        <w:tc>
          <w:tcPr>
            <w:tcW w:w="1912" w:type="dxa"/>
            <w:vAlign w:val="center"/>
          </w:tcPr>
          <w:p>
            <w:pPr>
              <w:jc w:val="center"/>
              <w:rPr>
                <w:rFonts w:hint="eastAsia" w:ascii="仿宋" w:hAnsi="仿宋" w:eastAsia="仿宋" w:cs="仿宋"/>
                <w:snapToGrid w:val="0"/>
                <w:color w:val="000000"/>
                <w:kern w:val="0"/>
                <w:sz w:val="21"/>
                <w:szCs w:val="21"/>
              </w:rPr>
            </w:pPr>
            <w:r>
              <w:rPr>
                <w:rFonts w:hint="eastAsia" w:ascii="仿宋_GB2312" w:eastAsia="仿宋_GB2312"/>
                <w:kern w:val="0"/>
                <w:szCs w:val="21"/>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Merge w:val="continue"/>
            <w:vAlign w:val="center"/>
          </w:tcPr>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党建、信访、安全维稳、安全生产等工作正常开展</w:t>
            </w:r>
          </w:p>
        </w:tc>
        <w:tc>
          <w:tcPr>
            <w:tcW w:w="1912"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全部完成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在职人员控制率</w:t>
            </w:r>
          </w:p>
        </w:tc>
        <w:tc>
          <w:tcPr>
            <w:tcW w:w="1912"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lang w:val="en-US" w:eastAsia="zh-CN"/>
              </w:rPr>
              <w:t xml:space="preserve">  </w:t>
            </w:r>
            <w:r>
              <w:rPr>
                <w:rFonts w:hint="eastAsia" w:ascii="仿宋_GB2312" w:eastAsia="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Merge w:val="continue"/>
            <w:vAlign w:val="center"/>
          </w:tcPr>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公用经费控制率</w:t>
            </w:r>
          </w:p>
        </w:tc>
        <w:tc>
          <w:tcPr>
            <w:tcW w:w="1912" w:type="dxa"/>
            <w:vAlign w:val="center"/>
          </w:tcPr>
          <w:p>
            <w:pPr>
              <w:ind w:firstLine="630" w:firstLineChars="300"/>
              <w:jc w:val="both"/>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lang w:eastAsia="zh-CN"/>
              </w:rPr>
              <w:t>保障财政供销人员</w:t>
            </w:r>
          </w:p>
        </w:tc>
        <w:tc>
          <w:tcPr>
            <w:tcW w:w="1912" w:type="dxa"/>
            <w:vAlign w:val="center"/>
          </w:tcPr>
          <w:p>
            <w:pPr>
              <w:ind w:firstLine="420" w:firstLineChars="200"/>
              <w:jc w:val="both"/>
              <w:rPr>
                <w:rFonts w:hint="default" w:ascii="仿宋" w:hAnsi="仿宋" w:eastAsia="仿宋_GB2312" w:cs="仿宋"/>
                <w:snapToGrid w:val="0"/>
                <w:color w:val="000000"/>
                <w:kern w:val="0"/>
                <w:sz w:val="21"/>
                <w:szCs w:val="21"/>
                <w:lang w:val="en-US" w:eastAsia="zh-CN"/>
              </w:rPr>
            </w:pPr>
            <w:r>
              <w:rPr>
                <w:rFonts w:hint="eastAsia" w:ascii="仿宋_GB2312" w:eastAsia="仿宋_GB2312"/>
                <w:kern w:val="0"/>
                <w:szCs w:val="21"/>
              </w:rPr>
              <w:t>≤</w:t>
            </w:r>
            <w:r>
              <w:rPr>
                <w:rFonts w:hint="eastAsia" w:ascii="仿宋_GB2312" w:eastAsia="仿宋_GB2312"/>
                <w:kern w:val="0"/>
                <w:szCs w:val="21"/>
                <w:lang w:val="en-US" w:eastAsia="zh-CN"/>
              </w:rPr>
              <w:t>284.52万元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Merge w:val="continue"/>
            <w:vAlign w:val="center"/>
          </w:tcPr>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lang w:eastAsia="zh-CN"/>
              </w:rPr>
              <w:t>保证单位正常运转</w:t>
            </w:r>
          </w:p>
        </w:tc>
        <w:tc>
          <w:tcPr>
            <w:tcW w:w="1912" w:type="dxa"/>
            <w:vAlign w:val="center"/>
          </w:tcPr>
          <w:p>
            <w:pPr>
              <w:ind w:firstLine="420" w:firstLineChars="200"/>
              <w:jc w:val="both"/>
              <w:rPr>
                <w:rFonts w:hint="default" w:ascii="仿宋" w:hAnsi="仿宋" w:eastAsia="仿宋_GB2312" w:cs="仿宋"/>
                <w:snapToGrid w:val="0"/>
                <w:color w:val="000000"/>
                <w:kern w:val="0"/>
                <w:sz w:val="21"/>
                <w:szCs w:val="21"/>
                <w:lang w:val="en-US" w:eastAsia="zh-CN"/>
              </w:rPr>
            </w:pPr>
            <w:r>
              <w:rPr>
                <w:rFonts w:hint="eastAsia" w:ascii="仿宋_GB2312" w:eastAsia="仿宋_GB2312"/>
                <w:kern w:val="0"/>
                <w:szCs w:val="21"/>
              </w:rPr>
              <w:t>≤</w:t>
            </w:r>
            <w:r>
              <w:rPr>
                <w:rFonts w:hint="eastAsia" w:ascii="仿宋_GB2312" w:eastAsia="仿宋_GB2312"/>
                <w:kern w:val="0"/>
                <w:szCs w:val="21"/>
                <w:lang w:val="en-US" w:eastAsia="zh-CN"/>
              </w:rPr>
              <w:t>30.85万元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年度内及时完成县委、政府及局领导交办的各项任务</w:t>
            </w:r>
          </w:p>
        </w:tc>
        <w:tc>
          <w:tcPr>
            <w:tcW w:w="1912"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7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经济效益指标</w:t>
            </w:r>
          </w:p>
        </w:tc>
        <w:tc>
          <w:tcPr>
            <w:tcW w:w="2623" w:type="dxa"/>
            <w:gridSpan w:val="2"/>
            <w:vAlign w:val="center"/>
          </w:tcPr>
          <w:p>
            <w:pPr>
              <w:numPr>
                <w:ilvl w:val="0"/>
                <w:numId w:val="0"/>
              </w:numPr>
              <w:jc w:val="both"/>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lang w:val="en-US" w:eastAsia="zh-CN"/>
              </w:rPr>
              <w:t>恢复重建“供销帮农”电商平台，通过直播带货、抖音视频等方式推荐衡东土菜和县域优质农副产品，完成电商销售额不少于500万元。</w:t>
            </w:r>
          </w:p>
        </w:tc>
        <w:tc>
          <w:tcPr>
            <w:tcW w:w="1912"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eastAsia="仿宋_GB2312"/>
                <w:kern w:val="0"/>
                <w:szCs w:val="21"/>
              </w:rPr>
              <w:t>≥</w:t>
            </w:r>
            <w:r>
              <w:rPr>
                <w:rFonts w:hint="eastAsia" w:ascii="仿宋_GB2312" w:eastAsia="仿宋_GB2312"/>
                <w:kern w:val="0"/>
                <w:szCs w:val="21"/>
                <w:lang w:val="en-US" w:eastAsia="zh-CN"/>
              </w:rPr>
              <w:t>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40"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lang w:val="en-US" w:eastAsia="zh-CN"/>
              </w:rPr>
              <w:t>坚持开放办社，吸纳有意愿、有需要、有典型意义的企业合作社不低于17家</w:t>
            </w:r>
          </w:p>
        </w:tc>
        <w:tc>
          <w:tcPr>
            <w:tcW w:w="1912"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eastAsia="仿宋_GB2312"/>
                <w:kern w:val="0"/>
                <w:szCs w:val="21"/>
              </w:rPr>
              <w:t>≥</w:t>
            </w:r>
            <w:r>
              <w:rPr>
                <w:rFonts w:hint="eastAsia" w:ascii="仿宋_GB2312" w:eastAsia="仿宋_GB2312"/>
                <w:kern w:val="0"/>
                <w:szCs w:val="21"/>
                <w:lang w:val="en-US" w:eastAsia="zh-CN"/>
              </w:rPr>
              <w:t>17家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40" w:type="dxa"/>
            <w:vMerge w:val="continue"/>
            <w:vAlign w:val="center"/>
          </w:tcPr>
          <w:p>
            <w:pPr>
              <w:jc w:val="center"/>
              <w:rPr>
                <w:rFonts w:hint="eastAsia" w:ascii="仿宋" w:hAnsi="仿宋" w:eastAsia="仿宋" w:cs="仿宋"/>
                <w:kern w:val="0"/>
                <w:sz w:val="21"/>
                <w:szCs w:val="21"/>
              </w:rPr>
            </w:pPr>
          </w:p>
        </w:tc>
        <w:tc>
          <w:tcPr>
            <w:tcW w:w="2623"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_GB2312" w:eastAsia="仿宋_GB2312"/>
                <w:kern w:val="0"/>
                <w:szCs w:val="21"/>
                <w:lang w:val="en-US" w:eastAsia="zh-CN"/>
              </w:rPr>
              <w:t>做大做强农合会体系，稳定会员单位10家以上</w:t>
            </w:r>
          </w:p>
        </w:tc>
        <w:tc>
          <w:tcPr>
            <w:tcW w:w="1912" w:type="dxa"/>
            <w:vAlign w:val="center"/>
          </w:tcPr>
          <w:p>
            <w:pPr>
              <w:jc w:val="center"/>
              <w:rPr>
                <w:rFonts w:hint="default" w:ascii="仿宋" w:hAnsi="仿宋" w:eastAsia="仿宋_GB2312" w:cs="仿宋"/>
                <w:snapToGrid w:val="0"/>
                <w:color w:val="000000"/>
                <w:kern w:val="0"/>
                <w:sz w:val="21"/>
                <w:szCs w:val="21"/>
                <w:lang w:val="en-US" w:eastAsia="zh-CN"/>
              </w:rPr>
            </w:pPr>
            <w:r>
              <w:rPr>
                <w:rFonts w:hint="eastAsia" w:ascii="仿宋_GB2312" w:eastAsia="仿宋_GB2312"/>
                <w:kern w:val="0"/>
                <w:szCs w:val="21"/>
              </w:rPr>
              <w:t>≥</w:t>
            </w:r>
            <w:r>
              <w:rPr>
                <w:rFonts w:hint="eastAsia" w:ascii="仿宋_GB2312" w:eastAsia="仿宋_GB2312"/>
                <w:kern w:val="0"/>
                <w:szCs w:val="21"/>
                <w:lang w:val="en-US" w:eastAsia="zh-CN"/>
              </w:rPr>
              <w:t>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生态效益指标</w:t>
            </w:r>
          </w:p>
        </w:tc>
        <w:tc>
          <w:tcPr>
            <w:tcW w:w="2623" w:type="dxa"/>
            <w:gridSpan w:val="2"/>
            <w:vAlign w:val="center"/>
          </w:tcPr>
          <w:p>
            <w:pPr>
              <w:jc w:val="center"/>
              <w:rPr>
                <w:rFonts w:hint="eastAsia" w:ascii="仿宋" w:hAnsi="仿宋" w:eastAsia="仿宋" w:cs="仿宋"/>
                <w:snapToGrid w:val="0"/>
                <w:color w:val="000000"/>
                <w:kern w:val="0"/>
                <w:sz w:val="21"/>
                <w:szCs w:val="21"/>
              </w:rPr>
            </w:pPr>
            <w:r>
              <w:rPr>
                <w:rFonts w:hint="eastAsia" w:ascii="仿宋_GB2312" w:eastAsia="仿宋_GB2312"/>
                <w:kern w:val="0"/>
                <w:szCs w:val="21"/>
                <w:lang w:val="en-US" w:eastAsia="zh-CN"/>
              </w:rPr>
              <w:t>对自然生态系统，对人类的生产、生活条件及环境条件所产生的有益的或有利的结果</w:t>
            </w:r>
          </w:p>
        </w:tc>
        <w:tc>
          <w:tcPr>
            <w:tcW w:w="1912" w:type="dxa"/>
            <w:vAlign w:val="center"/>
          </w:tcPr>
          <w:p>
            <w:pPr>
              <w:jc w:val="both"/>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统计部门相关数据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2623" w:type="dxa"/>
            <w:gridSpan w:val="2"/>
            <w:vAlign w:val="center"/>
          </w:tcPr>
          <w:p>
            <w:pPr>
              <w:jc w:val="center"/>
              <w:rPr>
                <w:rFonts w:hint="eastAsia" w:ascii="仿宋" w:hAnsi="仿宋" w:eastAsia="仿宋" w:cs="仿宋"/>
                <w:snapToGrid w:val="0"/>
                <w:color w:val="000000"/>
                <w:kern w:val="0"/>
                <w:sz w:val="21"/>
                <w:szCs w:val="21"/>
              </w:rPr>
            </w:pPr>
            <w:r>
              <w:rPr>
                <w:rFonts w:hint="eastAsia" w:ascii="仿宋_GB2312" w:eastAsia="仿宋_GB2312"/>
                <w:kern w:val="0"/>
                <w:szCs w:val="21"/>
                <w:lang w:eastAsia="zh-CN"/>
              </w:rPr>
              <w:t>促进农村经济发展</w:t>
            </w:r>
          </w:p>
        </w:tc>
        <w:tc>
          <w:tcPr>
            <w:tcW w:w="1912"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napToGrid w:val="0"/>
                <w:color w:val="000000"/>
                <w:kern w:val="0"/>
                <w:sz w:val="21"/>
                <w:szCs w:val="21"/>
                <w:lang w:val="en-US" w:eastAsia="zh-CN"/>
              </w:rPr>
              <w:t>统计部门相关数据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2623" w:type="dxa"/>
            <w:gridSpan w:val="2"/>
            <w:vAlign w:val="center"/>
          </w:tcPr>
          <w:p>
            <w:pPr>
              <w:jc w:val="center"/>
              <w:rPr>
                <w:rFonts w:hint="eastAsia" w:ascii="仿宋" w:hAnsi="仿宋" w:eastAsia="仿宋" w:cs="仿宋"/>
                <w:snapToGrid w:val="0"/>
                <w:color w:val="000000"/>
                <w:kern w:val="0"/>
                <w:sz w:val="21"/>
                <w:szCs w:val="21"/>
              </w:rPr>
            </w:pPr>
            <w:r>
              <w:rPr>
                <w:rFonts w:hint="eastAsia" w:ascii="仿宋_GB2312" w:eastAsia="仿宋_GB2312"/>
                <w:kern w:val="0"/>
                <w:szCs w:val="21"/>
              </w:rPr>
              <w:t>受益群众满意度</w:t>
            </w:r>
          </w:p>
        </w:tc>
        <w:tc>
          <w:tcPr>
            <w:tcW w:w="1912" w:type="dxa"/>
            <w:vAlign w:val="center"/>
          </w:tcPr>
          <w:p>
            <w:pPr>
              <w:jc w:val="center"/>
              <w:rPr>
                <w:rFonts w:hint="eastAsia" w:ascii="仿宋" w:hAnsi="仿宋" w:eastAsia="仿宋" w:cs="仿宋"/>
                <w:snapToGrid w:val="0"/>
                <w:color w:val="000000"/>
                <w:kern w:val="0"/>
                <w:sz w:val="21"/>
                <w:szCs w:val="21"/>
              </w:rPr>
            </w:pPr>
            <w:r>
              <w:rPr>
                <w:rFonts w:hint="eastAsia" w:ascii="仿宋_GB2312" w:eastAsia="仿宋_GB2312"/>
                <w:kern w:val="0"/>
                <w:szCs w:val="21"/>
              </w:rPr>
              <w:t>≥90%</w:t>
            </w:r>
          </w:p>
        </w:tc>
      </w:tr>
    </w:tbl>
    <w:p>
      <w:pPr>
        <w:widowControl/>
        <w:tabs>
          <w:tab w:val="left" w:pos="1333"/>
          <w:tab w:val="left" w:pos="3793"/>
          <w:tab w:val="left" w:pos="5853"/>
        </w:tabs>
        <w:ind w:firstLine="422" w:firstLineChars="200"/>
        <w:jc w:val="left"/>
        <w:rPr>
          <w:rFonts w:hint="eastAsia" w:ascii="仿宋" w:hAnsi="仿宋" w:eastAsia="仿宋" w:cs="仿宋"/>
          <w:b/>
          <w:bCs/>
          <w:kern w:val="0"/>
          <w:sz w:val="21"/>
          <w:szCs w:val="21"/>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91d94143-8244-4903-90e9-c67bb692eb7f"/>
  </w:docVars>
  <w:rsids>
    <w:rsidRoot w:val="17583C31"/>
    <w:rsid w:val="01E501E1"/>
    <w:rsid w:val="17583C31"/>
    <w:rsid w:val="72FE2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1239</Words>
  <Characters>1285</Characters>
  <Lines>0</Lines>
  <Paragraphs>0</Paragraphs>
  <TotalTime>0</TotalTime>
  <ScaleCrop>false</ScaleCrop>
  <LinksUpToDate>false</LinksUpToDate>
  <CharactersWithSpaces>1351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2023-04-21T06:58:00Z</dcterms:created>
  <dc:creator>ʜ ᴇ ᴀ ᴍ</dc:creator>
  <cp:lastModifiedBy>蒋阔</cp:lastModifiedBy>
  <dcterms:modified xsi:type="dcterms:W3CDTF">2024-10-22T09:32:39Z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692ED4D75455480897EFFB75DA5045BB_11</vt:lpwstr>
  </property>
</Properties>
</file>