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附件1：</w:t>
      </w:r>
    </w:p>
    <w:p>
      <w:pPr>
        <w:jc w:val="lef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园林所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20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23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年度部门整体支出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绩效自评报告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一、单位基本情况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（一）部门主要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职责</w:t>
      </w:r>
    </w:p>
    <w:p>
      <w:pPr>
        <w:spacing w:line="520" w:lineRule="exact"/>
        <w:ind w:firstLine="320" w:firstLineChars="100"/>
        <w:jc w:val="both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贯彻执行园林行业法律、法规、政策，参与拟订城市园林绿化建设发展规划和实施办法；负责城市绿化规划、建设与管理工作；参与审查基建项目的附属绿化工程设计方案与绿化指标；协调指导城区单位庭院绿化规划与建设，开展创建园林式单位活动；组织绿化未达标的单位实施异地绿化建设；拟订园林绿化工程建设、养护的定额标准和质量标准；负责园林绿化施工企业的资质管理；承担园林绿化建设工程招投标，负责园林绿化建设工程质量的监督管理及竣工验收；负责城市公园、广场、风光带等公共绿化场所的建设、管理与日常维护等工作；负责审批办理因城市建设需求必须移植树木或修枝、临时占用绿地等手续；协助依法查处损绿、毁绿以及破坏园林绿化设施的行为；负责城市绿化赔偿费、城市绿化补偿费的收缴和管理工作；承办县城市管理行政执法局交办的其他工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人员编制情况</w:t>
      </w:r>
    </w:p>
    <w:p>
      <w:pPr>
        <w:spacing w:line="52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核定县园林管理所全额事业编制15人，其中：所长1名、副所长3名；股室负责人4名。</w:t>
      </w:r>
    </w:p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二、预算支出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及绩效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预决算情况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年年初预算安排收入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845.54</w:t>
      </w:r>
      <w:r>
        <w:rPr>
          <w:rFonts w:hint="eastAsia" w:ascii="仿宋" w:hAnsi="仿宋" w:eastAsia="仿宋" w:cs="仿宋"/>
          <w:sz w:val="32"/>
          <w:szCs w:val="32"/>
        </w:rPr>
        <w:t>万元，其中一般公共财政拨款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854.54</w:t>
      </w:r>
      <w:r>
        <w:rPr>
          <w:rFonts w:hint="eastAsia" w:ascii="仿宋" w:hAnsi="仿宋" w:eastAsia="仿宋" w:cs="仿宋"/>
          <w:sz w:val="32"/>
          <w:szCs w:val="32"/>
        </w:rPr>
        <w:t>万元；20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年年初预算安排支出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845.54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166.54</w:t>
      </w:r>
      <w:r>
        <w:rPr>
          <w:rFonts w:hint="eastAsia" w:ascii="仿宋" w:hAnsi="仿宋" w:eastAsia="仿宋" w:cs="仿宋"/>
          <w:sz w:val="32"/>
          <w:szCs w:val="32"/>
        </w:rPr>
        <w:t>万元，项目支出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679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决算情况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含年中预算追加情况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年决算总收入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892.25</w:t>
      </w:r>
      <w:r>
        <w:rPr>
          <w:rFonts w:hint="eastAsia" w:ascii="仿宋" w:hAnsi="仿宋" w:eastAsia="仿宋" w:cs="仿宋"/>
          <w:sz w:val="32"/>
          <w:szCs w:val="32"/>
        </w:rPr>
        <w:t>万元，较预算增加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46.71</w:t>
      </w:r>
      <w:r>
        <w:rPr>
          <w:rFonts w:hint="eastAsia" w:ascii="仿宋" w:hAnsi="仿宋" w:eastAsia="仿宋" w:cs="仿宋"/>
          <w:sz w:val="32"/>
          <w:szCs w:val="32"/>
        </w:rPr>
        <w:t>万元，总支出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892.25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155.53</w:t>
      </w:r>
      <w:r>
        <w:rPr>
          <w:rFonts w:hint="eastAsia" w:ascii="仿宋" w:hAnsi="仿宋" w:eastAsia="仿宋" w:cs="仿宋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17.43</w:t>
      </w:r>
      <w:r>
        <w:rPr>
          <w:rFonts w:hint="eastAsia" w:ascii="仿宋" w:hAnsi="仿宋" w:eastAsia="仿宋" w:cs="仿宋"/>
          <w:sz w:val="32"/>
          <w:szCs w:val="32"/>
        </w:rPr>
        <w:t>％；项目支出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736.72</w:t>
      </w:r>
      <w:r>
        <w:rPr>
          <w:rFonts w:hint="eastAsia" w:ascii="仿宋" w:hAnsi="仿宋" w:eastAsia="仿宋" w:cs="仿宋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82.57</w:t>
      </w:r>
      <w:r>
        <w:rPr>
          <w:rFonts w:hint="eastAsia" w:ascii="仿宋" w:hAnsi="仿宋" w:eastAsia="仿宋" w:cs="仿宋"/>
          <w:sz w:val="32"/>
          <w:szCs w:val="32"/>
        </w:rPr>
        <w:t>％。差异产生的主要原因是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人员工资调资，政府临时安排的园林绿化养护任务，增加了支出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“三公"经费执行情况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</w:t>
      </w:r>
      <w:r>
        <w:rPr>
          <w:rFonts w:hint="eastAsia" w:ascii="仿宋" w:hAnsi="仿宋" w:eastAsia="仿宋" w:cs="仿宋"/>
          <w:sz w:val="32"/>
          <w:szCs w:val="32"/>
        </w:rPr>
        <w:t>“三公"经费预算数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11.5</w:t>
      </w:r>
      <w:r>
        <w:rPr>
          <w:rFonts w:hint="eastAsia" w:ascii="仿宋" w:hAnsi="仿宋" w:eastAsia="仿宋" w:cs="仿宋"/>
          <w:sz w:val="32"/>
          <w:szCs w:val="32"/>
        </w:rPr>
        <w:t>万元，其中：因公出国（境）费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万元，公务用车购置及运行维护费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1.5</w:t>
      </w:r>
      <w:r>
        <w:rPr>
          <w:rFonts w:hint="eastAsia" w:ascii="仿宋" w:hAnsi="仿宋" w:eastAsia="仿宋" w:cs="仿宋"/>
          <w:sz w:val="32"/>
          <w:szCs w:val="32"/>
        </w:rPr>
        <w:t>万元。“三公"经费决算数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2.84</w:t>
      </w:r>
      <w:r>
        <w:rPr>
          <w:rFonts w:hint="eastAsia" w:ascii="仿宋" w:hAnsi="仿宋" w:eastAsia="仿宋" w:cs="仿宋"/>
          <w:sz w:val="32"/>
          <w:szCs w:val="32"/>
        </w:rPr>
        <w:t>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2.75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0.09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政府采购执行情况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年度政府采购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（购买服务）</w:t>
      </w:r>
      <w:r>
        <w:rPr>
          <w:rFonts w:hint="eastAsia" w:ascii="仿宋" w:hAnsi="仿宋" w:eastAsia="仿宋" w:cs="仿宋"/>
          <w:sz w:val="32"/>
          <w:szCs w:val="32"/>
        </w:rPr>
        <w:t>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545</w:t>
      </w:r>
      <w:r>
        <w:rPr>
          <w:rFonts w:hint="eastAsia" w:ascii="仿宋" w:hAnsi="仿宋" w:eastAsia="仿宋" w:cs="仿宋"/>
          <w:sz w:val="32"/>
          <w:szCs w:val="32"/>
        </w:rPr>
        <w:t>万元，其中：货物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元，工程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万元，服务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545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资产管理情况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年年末资产总额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80.2</w:t>
      </w:r>
      <w:r>
        <w:rPr>
          <w:rFonts w:hint="eastAsia" w:ascii="仿宋" w:hAnsi="仿宋" w:eastAsia="仿宋" w:cs="仿宋"/>
          <w:sz w:val="32"/>
          <w:szCs w:val="32"/>
        </w:rPr>
        <w:t>万元，负债总额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73.43</w:t>
      </w:r>
      <w:r>
        <w:rPr>
          <w:rFonts w:hint="eastAsia" w:ascii="仿宋" w:hAnsi="仿宋" w:eastAsia="仿宋" w:cs="仿宋"/>
          <w:sz w:val="32"/>
          <w:szCs w:val="32"/>
        </w:rPr>
        <w:t>万元，净资产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6.77</w:t>
      </w:r>
      <w:r>
        <w:rPr>
          <w:rFonts w:hint="eastAsia" w:ascii="仿宋" w:hAnsi="仿宋" w:eastAsia="仿宋" w:cs="仿宋"/>
          <w:sz w:val="32"/>
          <w:szCs w:val="32"/>
        </w:rPr>
        <w:t>万元。截至202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年12月31日，固定资产账面原值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119.74</w:t>
      </w:r>
      <w:r>
        <w:rPr>
          <w:rFonts w:hint="eastAsia" w:ascii="仿宋" w:hAnsi="仿宋" w:eastAsia="仿宋" w:cs="仿宋"/>
          <w:sz w:val="32"/>
          <w:szCs w:val="32"/>
        </w:rPr>
        <w:t>万元，在用资产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7.44</w:t>
      </w:r>
      <w:r>
        <w:rPr>
          <w:rFonts w:hint="eastAsia" w:ascii="仿宋" w:hAnsi="仿宋" w:eastAsia="仿宋" w:cs="仿宋"/>
          <w:sz w:val="32"/>
          <w:szCs w:val="32"/>
        </w:rPr>
        <w:t>万元，资产使用率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6.21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（二）资金使用及绩效情况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整体绩效目标完成情况</w:t>
      </w:r>
    </w:p>
    <w:p>
      <w:pPr>
        <w:pStyle w:val="2"/>
        <w:ind w:left="0" w:leftChars="0" w:firstLine="0" w:firstLineChars="0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eastAsia="仿宋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认真完成各项目标任务，人员经费保障到位，公用经费控制在预算范围之内，项目基本完成且资金支付到位，个别滞后项目，正在积极加快推进。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项目绩效目标完成情况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仅对50万元以上的项目资金进行分项说明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（1）洣江广场、洣江风光带绿化养护管理社会化服务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项目114万元，为政府公开招标项目，资金需支付到位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（2）河西新区绿化养护社会化服务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项目79万元，为政府公开招标项目，资金需支付到位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）公共绿地、行道树、移动花箱绿化养护社会化服务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项目147万元，为政府公开招标项目，资金需支付到位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园林绿化日常养护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101万元，为保障县城园林绿化充实的有效项目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）衡东县少梅公园园林绿化养护管理社会化服务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项目135万元，为政府公开招标项目，资金需支付到位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三、存在的问题及改进措施</w:t>
      </w:r>
    </w:p>
    <w:p>
      <w:pPr>
        <w:pStyle w:val="2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部分项目资金存在跨年度支付，需保证资金支付率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四、其他需要说明的情况</w:t>
      </w:r>
      <w:bookmarkStart w:id="0" w:name="_GoBack"/>
      <w:bookmarkEnd w:id="0"/>
    </w:p>
    <w:p>
      <w:pPr>
        <w:pStyle w:val="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9E7F4B"/>
    <w:multiLevelType w:val="singleLevel"/>
    <w:tmpl w:val="D49E7F4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2YWIxMGM3MTk3MDYyNGYwZDliMDhmNmRlY2M4ZTMifQ=="/>
  </w:docVars>
  <w:rsids>
    <w:rsidRoot w:val="64321B54"/>
    <w:rsid w:val="64321B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left="420" w:leftChars="200" w:firstLine="210"/>
    </w:pPr>
  </w:style>
  <w:style w:type="paragraph" w:customStyle="1" w:styleId="5">
    <w:name w:val="BodyText1I"/>
    <w:basedOn w:val="1"/>
    <w:autoRedefine/>
    <w:qFormat/>
    <w:uiPriority w:val="99"/>
    <w:pPr>
      <w:snapToGrid w:val="0"/>
      <w:spacing w:line="360" w:lineRule="auto"/>
      <w:ind w:firstLine="420" w:firstLineChars="100"/>
    </w:pPr>
    <w:rPr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2024-04-03T02:00:00Z</dcterms:created>
  <dc:creator>Administrator</dc:creator>
  <cp:lastModifiedBy>Administrator</cp:lastModifiedBy>
  <dcterms:modified xsi:type="dcterms:W3CDTF">2024-04-03T02:10:45Z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BF697E50C7834D459DEDD837185D35B8_11</vt:lpwstr>
  </property>
</Properties>
</file>