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FB3249"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 w14:paraId="67F393BA"/>
    <w:p w14:paraId="7D781989"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部门整体支出绩效目标表</w:t>
      </w:r>
    </w:p>
    <w:p w14:paraId="33849A08"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</w:t>
      </w:r>
      <w:r>
        <w:rPr>
          <w:rFonts w:hint="eastAsia" w:ascii="仿宋_GB2312" w:eastAsia="仿宋_GB2312"/>
          <w:b/>
          <w:bCs/>
          <w:kern w:val="0"/>
          <w:sz w:val="24"/>
          <w:szCs w:val="21"/>
          <w:lang w:eastAsia="zh-CN"/>
        </w:rPr>
        <w:t>衡东县委政法委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 w14:paraId="51EE5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 w14:paraId="6C984901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 w14:paraId="3D37887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32826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 w14:paraId="7D113368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 w14:paraId="29C1ED29"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698.7万元</w:t>
            </w:r>
          </w:p>
        </w:tc>
      </w:tr>
      <w:tr w14:paraId="6A8DB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 w14:paraId="665D67D1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 w14:paraId="0AC77C73"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 w14:paraId="04A99FB5"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 w14:paraId="0CBB2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 w14:paraId="04946FDF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 w14:paraId="43F459F6"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698.7万元</w:t>
            </w:r>
          </w:p>
        </w:tc>
        <w:tc>
          <w:tcPr>
            <w:tcW w:w="3741" w:type="dxa"/>
            <w:gridSpan w:val="2"/>
            <w:vAlign w:val="center"/>
          </w:tcPr>
          <w:p w14:paraId="4D0D62D9"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583.7万元</w:t>
            </w:r>
          </w:p>
        </w:tc>
      </w:tr>
      <w:tr w14:paraId="1BCDC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 w14:paraId="1E067A90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 w14:paraId="1A450709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741" w:type="dxa"/>
            <w:gridSpan w:val="2"/>
            <w:vAlign w:val="center"/>
          </w:tcPr>
          <w:p w14:paraId="6F0BA832"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115万元</w:t>
            </w:r>
          </w:p>
        </w:tc>
      </w:tr>
      <w:tr w14:paraId="64D0F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 w14:paraId="520BB48D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 w14:paraId="40F78AB8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741" w:type="dxa"/>
            <w:gridSpan w:val="2"/>
            <w:vAlign w:val="center"/>
          </w:tcPr>
          <w:p w14:paraId="7CC44FB2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</w:p>
        </w:tc>
      </w:tr>
      <w:tr w14:paraId="6E506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 w14:paraId="70AD6DD3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 w14:paraId="6385E81F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741" w:type="dxa"/>
            <w:gridSpan w:val="2"/>
            <w:vAlign w:val="center"/>
          </w:tcPr>
          <w:p w14:paraId="465C5F81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46759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3" w:hRule="atLeast"/>
        </w:trPr>
        <w:tc>
          <w:tcPr>
            <w:tcW w:w="1761" w:type="dxa"/>
            <w:vAlign w:val="center"/>
          </w:tcPr>
          <w:p w14:paraId="3628056D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 w14:paraId="2551D9CF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 w14:paraId="66E31A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ind w:firstLine="420" w:firstLineChars="200"/>
              <w:jc w:val="both"/>
              <w:textAlignment w:val="baseline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(一)、根据党的路线、方针、政策和县委的部署，统一政法部门的思想和行动，对一定时期内的政法工作作出全面性部署，并督促贯彻落实。(二)、组织、协调、指导维护社会稳定的工作，必要时直接参与影响稳定的重大群体事件的处置。(三)检查政法部门执行法律法规和党的方针政策的情况，结合实际研究制定严肃执法、落实党的方针政策和具体措施。(四)、支持和监督政法各部门依法行使职权，指导和协调政法各部门在依法相互制约的同时密切配合，督促推进大案要案的查处工作，研究有争议的重大、疑难案件。(五)、组织、协调社会治安综合治理工作和维护稳定工作，推动社会治安综合治理和维护稳定各项措施的落实。(六)、组织、推动政法战线的调查研究工作，探索改革加强政法工作的措施、办法。(七)、协助党委及组织部门管理好政法部门的领导班子和政法干部队伍。(八)、组织查处政法系统干部干警中有重大影响的违法违纪案件。(九)、办理县委、县政府才上级政法委员会交办的其他事项。</w:t>
            </w:r>
          </w:p>
        </w:tc>
      </w:tr>
      <w:tr w14:paraId="7CA70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761" w:type="dxa"/>
            <w:vAlign w:val="center"/>
          </w:tcPr>
          <w:p w14:paraId="7811CC6C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 w14:paraId="5AE04F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both"/>
              <w:textAlignment w:val="baseline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通过预算执行，保障单位履职、运转。积极推进优化营商环境、放管服改革，充分发挥管理、服务、协调作用，收集信息提出建议，为县委、政府提供决策参考依据。</w:t>
            </w:r>
          </w:p>
        </w:tc>
      </w:tr>
      <w:tr w14:paraId="5BE37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 w14:paraId="5A397479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 w14:paraId="45FE4E52"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 w14:paraId="16687D59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 w14:paraId="193B0713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 w14:paraId="3EC0C5B1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80" w:type="dxa"/>
            <w:vAlign w:val="center"/>
          </w:tcPr>
          <w:p w14:paraId="66B54E01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 w14:paraId="698A4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 w14:paraId="7DC1FD95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 w14:paraId="3B9F4173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 w14:paraId="3151EE4C"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 w14:paraId="2ECE5417"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 w14:paraId="0DF5EA82"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财政供养人员</w:t>
            </w:r>
          </w:p>
        </w:tc>
        <w:tc>
          <w:tcPr>
            <w:tcW w:w="2780" w:type="dxa"/>
            <w:vAlign w:val="center"/>
          </w:tcPr>
          <w:p w14:paraId="33282307"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34人</w:t>
            </w:r>
          </w:p>
        </w:tc>
      </w:tr>
      <w:tr w14:paraId="4D00B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 w14:paraId="47D49FCD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 w14:paraId="2C43E41D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 w14:paraId="3B4AE1FD"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 w14:paraId="5BD52226"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部门单位履职、运转</w:t>
            </w:r>
          </w:p>
        </w:tc>
        <w:tc>
          <w:tcPr>
            <w:tcW w:w="2780" w:type="dxa"/>
            <w:vAlign w:val="center"/>
          </w:tcPr>
          <w:p w14:paraId="0AB3E1D2"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予以保障</w:t>
            </w:r>
          </w:p>
        </w:tc>
      </w:tr>
      <w:tr w14:paraId="417C3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 w14:paraId="720CBADC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 w14:paraId="0ECAC6DB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 w14:paraId="46C1CACF"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 w14:paraId="03B7D8A9"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 w14:paraId="5FBD0770"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在职人员控制率</w:t>
            </w:r>
          </w:p>
        </w:tc>
        <w:tc>
          <w:tcPr>
            <w:tcW w:w="2780" w:type="dxa"/>
            <w:vAlign w:val="center"/>
          </w:tcPr>
          <w:p w14:paraId="78F36FC7"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≦100%</w:t>
            </w:r>
          </w:p>
        </w:tc>
      </w:tr>
      <w:tr w14:paraId="138D6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 w14:paraId="614B3DF9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 w14:paraId="68C3C4C4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 w14:paraId="15231AD9"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 w14:paraId="50F3F1EF"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公用经费控制率</w:t>
            </w:r>
          </w:p>
        </w:tc>
        <w:tc>
          <w:tcPr>
            <w:tcW w:w="2780" w:type="dxa"/>
            <w:vAlign w:val="center"/>
          </w:tcPr>
          <w:p w14:paraId="1C5430F0"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≦100%</w:t>
            </w:r>
          </w:p>
        </w:tc>
      </w:tr>
      <w:tr w14:paraId="4F6EA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 w14:paraId="318ADC5A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 w14:paraId="2CE5C007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 w14:paraId="7EB87BAD"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 w14:paraId="795715D0"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 w14:paraId="46C7C426"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财政供养人员工资</w:t>
            </w:r>
          </w:p>
        </w:tc>
        <w:tc>
          <w:tcPr>
            <w:tcW w:w="2780" w:type="dxa"/>
            <w:vAlign w:val="center"/>
          </w:tcPr>
          <w:p w14:paraId="0003B904"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≦457.64万元</w:t>
            </w:r>
          </w:p>
        </w:tc>
      </w:tr>
      <w:tr w14:paraId="42B24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 w14:paraId="478A87C1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 w14:paraId="5FF682ED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 w14:paraId="2CEBF5C8"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 w14:paraId="03B99C09"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公用经费</w:t>
            </w:r>
          </w:p>
        </w:tc>
        <w:tc>
          <w:tcPr>
            <w:tcW w:w="2780" w:type="dxa"/>
            <w:vAlign w:val="center"/>
          </w:tcPr>
          <w:p w14:paraId="32534482"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≦126.06万元</w:t>
            </w:r>
          </w:p>
        </w:tc>
      </w:tr>
      <w:tr w14:paraId="18D194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 w14:paraId="25E907B1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 w14:paraId="5EF0701B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09BB48C9"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1740" w:type="dxa"/>
            <w:gridSpan w:val="2"/>
            <w:vAlign w:val="center"/>
          </w:tcPr>
          <w:p w14:paraId="780BA2BF"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完成单位职责及上级交办的各项任务时限</w:t>
            </w:r>
          </w:p>
        </w:tc>
        <w:tc>
          <w:tcPr>
            <w:tcW w:w="2780" w:type="dxa"/>
            <w:vAlign w:val="center"/>
          </w:tcPr>
          <w:p w14:paraId="44E3D8A7"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年度内及时完成</w:t>
            </w:r>
          </w:p>
        </w:tc>
      </w:tr>
      <w:tr w14:paraId="4D678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 w14:paraId="59EE97C6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 w14:paraId="18E04C00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Align w:val="center"/>
          </w:tcPr>
          <w:p w14:paraId="03210EB6"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可持续影响指标</w:t>
            </w:r>
          </w:p>
        </w:tc>
        <w:tc>
          <w:tcPr>
            <w:tcW w:w="1740" w:type="dxa"/>
            <w:gridSpan w:val="2"/>
            <w:vAlign w:val="center"/>
          </w:tcPr>
          <w:p w14:paraId="36B2D639"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指导维护社会稳定</w:t>
            </w:r>
          </w:p>
        </w:tc>
        <w:tc>
          <w:tcPr>
            <w:tcW w:w="2780" w:type="dxa"/>
            <w:vAlign w:val="center"/>
          </w:tcPr>
          <w:p w14:paraId="23805160"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持续</w:t>
            </w:r>
          </w:p>
        </w:tc>
      </w:tr>
      <w:tr w14:paraId="4B471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761" w:type="dxa"/>
            <w:vMerge w:val="continue"/>
            <w:vAlign w:val="center"/>
          </w:tcPr>
          <w:p w14:paraId="7C7B733D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 w14:paraId="69129C7F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 w14:paraId="34198B32"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社会公众或服务对象满意度</w:t>
            </w:r>
          </w:p>
        </w:tc>
        <w:tc>
          <w:tcPr>
            <w:tcW w:w="1740" w:type="dxa"/>
            <w:gridSpan w:val="2"/>
            <w:vAlign w:val="center"/>
          </w:tcPr>
          <w:p w14:paraId="6345F88C"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群众满意度</w:t>
            </w:r>
          </w:p>
        </w:tc>
        <w:tc>
          <w:tcPr>
            <w:tcW w:w="2780" w:type="dxa"/>
            <w:vAlign w:val="center"/>
          </w:tcPr>
          <w:p w14:paraId="102FAAA4"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≧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90%</w:t>
            </w:r>
          </w:p>
        </w:tc>
      </w:tr>
    </w:tbl>
    <w:p w14:paraId="0458D74C"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李玲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17382189406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唐志军</w:t>
      </w:r>
      <w:bookmarkStart w:id="0" w:name="_GoBack"/>
      <w:bookmarkEnd w:id="0"/>
    </w:p>
    <w:p w14:paraId="463E6D1E"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B5B7F3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jZDQ0NjllMGMyNGZjYzJkZTQ0YjhlYjA3NjkzOTcifQ=="/>
  </w:docVars>
  <w:rsids>
    <w:rsidRoot w:val="77F37B20"/>
    <w:rsid w:val="02F05A75"/>
    <w:rsid w:val="0FA9565E"/>
    <w:rsid w:val="130F3BC9"/>
    <w:rsid w:val="2BED5333"/>
    <w:rsid w:val="2C7D1F40"/>
    <w:rsid w:val="2CD637F5"/>
    <w:rsid w:val="3391388D"/>
    <w:rsid w:val="3C0E6083"/>
    <w:rsid w:val="425E48CA"/>
    <w:rsid w:val="48E54635"/>
    <w:rsid w:val="4B3A6E50"/>
    <w:rsid w:val="4D047AEC"/>
    <w:rsid w:val="4E863E18"/>
    <w:rsid w:val="52052A88"/>
    <w:rsid w:val="57993556"/>
    <w:rsid w:val="5D8C5661"/>
    <w:rsid w:val="60F67F70"/>
    <w:rsid w:val="6BF3392A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785</Words>
  <Characters>821</Characters>
  <Lines>0</Lines>
  <Paragraphs>0</Paragraphs>
  <TotalTime>15</TotalTime>
  <ScaleCrop>false</ScaleCrop>
  <LinksUpToDate>false</LinksUpToDate>
  <CharactersWithSpaces>821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dcterms:modified xsi:type="dcterms:W3CDTF">2024-10-16T07:43:17Z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8F7B07D9463C40CDAD440A267B4BDE01_13</vt:lpwstr>
  </property>
</Properties>
</file>