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Calibri" w:hAnsi="黑体" w:eastAsia="黑体" w:cs="黑体"/>
          <w:b/>
          <w:bCs/>
          <w:sz w:val="24"/>
          <w:szCs w:val="24"/>
          <w:lang w:eastAsia="zh-CN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20</w:t>
      </w:r>
      <w:r>
        <w:rPr>
          <w:rFonts w:hint="eastAsia" w:ascii="Calibri" w:hAnsi="黑体" w:eastAsia="黑体" w:cs="黑体"/>
          <w:b/>
          <w:bCs/>
          <w:sz w:val="24"/>
          <w:szCs w:val="24"/>
          <w:lang w:val="en-US" w:eastAsia="zh-CN"/>
        </w:rPr>
        <w:t>2</w:t>
      </w:r>
      <w:r>
        <w:rPr>
          <w:rFonts w:hint="eastAsia" w:hAnsi="黑体" w:eastAsia="黑体" w:cs="黑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Calibri" w:hAnsi="黑体" w:eastAsia="黑体" w:cs="黑体"/>
          <w:b/>
          <w:bCs/>
          <w:sz w:val="24"/>
          <w:szCs w:val="24"/>
        </w:rPr>
        <w:t>年度部门整体支出绩效评</w:t>
      </w:r>
      <w:r>
        <w:rPr>
          <w:rFonts w:hint="eastAsia" w:hAnsi="黑体" w:eastAsia="黑体" w:cs="黑体"/>
          <w:b/>
          <w:bCs/>
          <w:sz w:val="24"/>
          <w:szCs w:val="24"/>
          <w:lang w:eastAsia="zh-CN"/>
        </w:rPr>
        <w:t>价</w:t>
      </w:r>
      <w:r>
        <w:rPr>
          <w:rFonts w:hint="eastAsia" w:ascii="Calibri" w:hAnsi="黑体" w:eastAsia="黑体" w:cs="黑体"/>
          <w:b/>
          <w:bCs/>
          <w:sz w:val="24"/>
          <w:szCs w:val="24"/>
        </w:rPr>
        <w:t>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Calibri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黑体" w:eastAsia="黑体" w:cs="黑体"/>
          <w:b/>
          <w:bCs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一、单位基本情况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（一）部门主要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30" w:leftChars="443" w:firstLine="376" w:firstLineChars="157"/>
        <w:jc w:val="both"/>
        <w:textAlignment w:val="auto"/>
        <w:rPr>
          <w:rFonts w:ascii="Calibri" w:hAnsi="仿宋" w:eastAsia="仿宋" w:cs="仿宋"/>
          <w:sz w:val="24"/>
          <w:szCs w:val="24"/>
          <w:lang w:val="en-US" w:eastAsia="zh-CN" w:bidi="ar-SA"/>
        </w:rPr>
      </w:pP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>水运事务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中心为财政全额拨款</w:t>
      </w:r>
      <w:r>
        <w:rPr>
          <w:rFonts w:ascii="Calibri" w:hAnsi="仿宋" w:eastAsia="仿宋" w:cs="仿宋"/>
          <w:color w:val="auto"/>
          <w:sz w:val="24"/>
          <w:szCs w:val="24"/>
          <w:lang w:val="en-US" w:eastAsia="zh-CN" w:bidi="ar-SA"/>
        </w:rPr>
        <w:t>公益一类事业单位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，现有在职人员</w:t>
      </w: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 xml:space="preserve"> 2</w:t>
      </w:r>
      <w:r>
        <w:rPr>
          <w:rFonts w:hint="eastAsia" w:hAnsi="仿宋" w:eastAsia="仿宋" w:cs="仿宋"/>
          <w:sz w:val="24"/>
          <w:szCs w:val="24"/>
          <w:lang w:val="en-US" w:eastAsia="zh-CN" w:bidi="ar-SA"/>
        </w:rPr>
        <w:t>1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 xml:space="preserve">人，退休人员 </w:t>
      </w: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>8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人，主要负责全县</w:t>
      </w: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 xml:space="preserve">：主要负责县域内水运事务性工作。贯彻执行有关水路交通工作的方针政策和法律法规；实施水路运输行业市场运行管理、从业人员考核工作;组织实施水路运输船舶年度审验工作；承担县交通运输局交办的行政许可前期勘验、资料审核等事务性工作；负责组织开展水路运输企业年度核查工作；负责水路运输行业节能减排工作；负责农村水路客运船舶燃油补贴审核、申报工作；负责指导协助全县水上交通运输行业安全生产和应急处置工作；负责全县船舶、船员登记工作;负责全县船舶及水上设施的法定检验，承办有关公正检验业务；负责水路营运证件、标志标牌的申领、发放工作；负责水路运输的政策宣传，负责全县船管员、签单发航员、客渡船船员的培训和继续教育；负责水运行业科技、统计和信息收集、整理、交流等工作;负责通航水域航道维护；负责全县渡口码头维护前期工作的申报、勘验 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。</w:t>
      </w:r>
    </w:p>
    <w:p>
      <w:pPr>
        <w:pStyle w:val="2"/>
        <w:rPr>
          <w:rFonts w:hint="eastAsia" w:ascii="Calibri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人员编制情况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Calibri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衡东县水运事务中心全额事业编制31名。设主任1名，副主任3名：股室负责人5名。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黑体" w:eastAsia="黑体" w:cs="黑体"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二、预算支出</w:t>
      </w:r>
      <w:r>
        <w:rPr>
          <w:rFonts w:hint="eastAsia" w:ascii="Calibri" w:hAnsi="黑体" w:eastAsia="黑体" w:cs="黑体"/>
          <w:b/>
          <w:bCs/>
          <w:sz w:val="24"/>
          <w:szCs w:val="24"/>
          <w:lang w:val="en-US" w:eastAsia="zh-CN"/>
        </w:rPr>
        <w:t>及绩效</w:t>
      </w:r>
      <w:r>
        <w:rPr>
          <w:rFonts w:hint="eastAsia" w:ascii="Calibri" w:hAnsi="黑体" w:eastAsia="黑体" w:cs="黑体"/>
          <w:b/>
          <w:bCs/>
          <w:sz w:val="24"/>
          <w:szCs w:val="24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</w:rPr>
        <w:t>（一）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部门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1.部门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年年初预算安排收入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319.23</w:t>
      </w:r>
      <w:r>
        <w:rPr>
          <w:rFonts w:hint="eastAsia" w:ascii="宋体" w:hAnsi="宋体" w:eastAsia="宋体" w:cs="宋体"/>
          <w:sz w:val="24"/>
          <w:szCs w:val="24"/>
        </w:rPr>
        <w:t>万元，其中一般公共财政拨款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319.23</w:t>
      </w:r>
      <w:r>
        <w:rPr>
          <w:rFonts w:hint="eastAsia" w:ascii="宋体" w:hAnsi="宋体" w:eastAsia="宋体" w:cs="宋体"/>
          <w:sz w:val="24"/>
          <w:szCs w:val="24"/>
        </w:rPr>
        <w:t>万元；20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年年初预算安排支出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319.23</w:t>
      </w:r>
      <w:r>
        <w:rPr>
          <w:rFonts w:hint="eastAsia" w:ascii="宋体" w:hAnsi="宋体" w:eastAsia="宋体" w:cs="宋体"/>
          <w:sz w:val="24"/>
          <w:szCs w:val="24"/>
        </w:rPr>
        <w:t>万元，其中：基本支出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222.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</w:t>
      </w:r>
      <w:r>
        <w:rPr>
          <w:rFonts w:hint="eastAsia" w:ascii="宋体" w:hAnsi="宋体" w:eastAsia="宋体" w:cs="宋体"/>
          <w:sz w:val="24"/>
          <w:szCs w:val="24"/>
        </w:rPr>
        <w:t>万元，项目支出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2.部门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决算情况</w:t>
      </w:r>
      <w:r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  <w:t>（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含年中预算追加情况</w:t>
      </w:r>
      <w:r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年决算总收入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317.53</w:t>
      </w:r>
      <w:r>
        <w:rPr>
          <w:rFonts w:hint="eastAsia" w:ascii="宋体" w:hAnsi="宋体" w:eastAsia="宋体" w:cs="宋体"/>
          <w:sz w:val="24"/>
          <w:szCs w:val="24"/>
        </w:rPr>
        <w:t>万元，较预算</w:t>
      </w:r>
      <w:r>
        <w:rPr>
          <w:rFonts w:hint="eastAsia" w:ascii="宋体" w:hAnsi="宋体" w:cs="宋体"/>
          <w:sz w:val="24"/>
          <w:szCs w:val="24"/>
          <w:lang w:eastAsia="zh-CN"/>
        </w:rPr>
        <w:t>减少了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1.7</w:t>
      </w:r>
      <w:r>
        <w:rPr>
          <w:rFonts w:hint="eastAsia" w:ascii="宋体" w:hAnsi="宋体" w:eastAsia="宋体" w:cs="宋体"/>
          <w:sz w:val="24"/>
          <w:szCs w:val="24"/>
        </w:rPr>
        <w:t>万元，总支出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317.53</w:t>
      </w:r>
      <w:r>
        <w:rPr>
          <w:rFonts w:hint="eastAsia" w:ascii="宋体" w:hAnsi="宋体" w:eastAsia="宋体" w:cs="宋体"/>
          <w:sz w:val="24"/>
          <w:szCs w:val="24"/>
        </w:rPr>
        <w:t>万元，其中：基本支出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235.83</w:t>
      </w:r>
      <w:r>
        <w:rPr>
          <w:rFonts w:hint="eastAsia" w:ascii="宋体" w:hAnsi="宋体" w:eastAsia="宋体" w:cs="宋体"/>
          <w:sz w:val="24"/>
          <w:szCs w:val="24"/>
        </w:rPr>
        <w:t>万元，占总支出的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74</w:t>
      </w:r>
      <w:r>
        <w:rPr>
          <w:rFonts w:hint="eastAsia" w:ascii="宋体" w:hAnsi="宋体" w:eastAsia="宋体" w:cs="宋体"/>
          <w:sz w:val="24"/>
          <w:szCs w:val="24"/>
        </w:rPr>
        <w:t>％；项目支出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81.7</w:t>
      </w:r>
      <w:r>
        <w:rPr>
          <w:rFonts w:hint="eastAsia" w:ascii="宋体" w:hAnsi="宋体" w:eastAsia="宋体" w:cs="宋体"/>
          <w:sz w:val="24"/>
          <w:szCs w:val="24"/>
        </w:rPr>
        <w:t>万元，占总支出的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sz w:val="24"/>
          <w:szCs w:val="24"/>
        </w:rPr>
        <w:t>％。差异产生的主要原因是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：人员经费和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公用经费不足，少部分项目资金用于弥补人员经费和公用经费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3.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</w:rPr>
        <w:t>“三公"经费预算数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2.5</w:t>
      </w:r>
      <w:r>
        <w:rPr>
          <w:rFonts w:hint="eastAsia" w:ascii="宋体" w:hAnsi="宋体" w:eastAsia="宋体" w:cs="宋体"/>
          <w:sz w:val="24"/>
          <w:szCs w:val="24"/>
        </w:rPr>
        <w:t>万元，其中：因公出国（境）费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万元，公务用车购置及运行维护费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万元，公务接待费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2.5</w:t>
      </w:r>
      <w:r>
        <w:rPr>
          <w:rFonts w:hint="eastAsia" w:ascii="宋体" w:hAnsi="宋体" w:eastAsia="宋体" w:cs="宋体"/>
          <w:sz w:val="24"/>
          <w:szCs w:val="24"/>
        </w:rPr>
        <w:t>万元。“三公"经费决算数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0.7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元，其中：因公出国（境）费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万元，公务用车运行维护费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万元，公务接待费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0.7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4.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年度政府采购支出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万元，其中：货物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元，工程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万元，服务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5.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年年末资产总额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72.84</w:t>
      </w:r>
      <w:r>
        <w:rPr>
          <w:rFonts w:hint="eastAsia" w:ascii="宋体" w:hAnsi="宋体" w:eastAsia="宋体" w:cs="宋体"/>
          <w:sz w:val="24"/>
          <w:szCs w:val="24"/>
        </w:rPr>
        <w:t>万元，负债总额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13.83</w:t>
      </w:r>
      <w:r>
        <w:rPr>
          <w:rFonts w:hint="eastAsia" w:ascii="宋体" w:hAnsi="宋体" w:eastAsia="宋体" w:cs="宋体"/>
          <w:sz w:val="24"/>
          <w:szCs w:val="24"/>
        </w:rPr>
        <w:t>万元，净资产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59.01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万元。截至202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年12月31日，固定资产账面原值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93.22</w:t>
      </w:r>
      <w:r>
        <w:rPr>
          <w:rFonts w:hint="eastAsia" w:ascii="宋体" w:hAnsi="宋体" w:eastAsia="宋体" w:cs="宋体"/>
          <w:sz w:val="24"/>
          <w:szCs w:val="24"/>
        </w:rPr>
        <w:t>万元，在用资产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86.73</w:t>
      </w:r>
      <w:r>
        <w:rPr>
          <w:rFonts w:hint="eastAsia" w:ascii="宋体" w:hAnsi="宋体" w:eastAsia="宋体" w:cs="宋体"/>
          <w:sz w:val="24"/>
          <w:szCs w:val="24"/>
        </w:rPr>
        <w:t>万元，资产使用率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sz w:val="24"/>
          <w:szCs w:val="24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</w:rPr>
        <w:t>1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整体绩效目标完成情况</w:t>
      </w:r>
      <w:r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  <w:t>：</w:t>
      </w:r>
    </w:p>
    <w:p>
      <w:pPr>
        <w:pStyle w:val="2"/>
        <w:rPr>
          <w:rFonts w:hint="default" w:ascii="Calibri"/>
          <w:sz w:val="24"/>
          <w:szCs w:val="24"/>
          <w:lang w:val="en-US"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202</w:t>
      </w:r>
      <w:r>
        <w:rPr>
          <w:rFonts w:hint="eastAsia" w:hAnsi="仿宋" w:eastAsia="仿宋" w:cs="仿宋"/>
          <w:b/>
          <w:bCs/>
          <w:sz w:val="24"/>
          <w:szCs w:val="24"/>
          <w:lang w:val="en-US" w:eastAsia="zh-CN"/>
        </w:rPr>
        <w:t>3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年确保了水上交通安全运行。</w:t>
      </w:r>
    </w:p>
    <w:p>
      <w:pPr>
        <w:pStyle w:val="2"/>
        <w:rPr>
          <w:rFonts w:hint="eastAsia" w:ascii="Calibri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项目绩效目标完成情况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仅对50万元以上的项目资金进行分项说明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（1）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水上交通安全视频监控中心经费项目（80）万元）：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确保了202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年签单发航员工资及时到位，保障了1条网络专用线畅通。保障了乘客安全。</w:t>
      </w:r>
    </w:p>
    <w:p>
      <w:pPr>
        <w:pStyle w:val="2"/>
        <w:rPr>
          <w:rFonts w:hint="eastAsia" w:ascii="Calibri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Calibri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黑体" w:eastAsia="黑体" w:cs="黑体"/>
          <w:b/>
          <w:bCs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存在的问题及改进措施</w:t>
      </w:r>
    </w:p>
    <w:p>
      <w:pPr>
        <w:pStyle w:val="2"/>
        <w:numPr>
          <w:ilvl w:val="0"/>
          <w:numId w:val="0"/>
        </w:numPr>
        <w:ind w:leftChars="200" w:firstLine="480" w:firstLineChars="200"/>
        <w:rPr>
          <w:rFonts w:hint="eastAsia" w:ascii="Calibri" w:eastAsia="宋体"/>
          <w:sz w:val="24"/>
          <w:szCs w:val="24"/>
          <w:lang w:eastAsia="zh-CN"/>
        </w:rPr>
      </w:pPr>
      <w:r>
        <w:rPr>
          <w:rFonts w:hint="eastAsia" w:ascii="Calibri"/>
          <w:sz w:val="24"/>
          <w:szCs w:val="24"/>
          <w:lang w:eastAsia="zh-CN"/>
        </w:rPr>
        <w:t>因单位人员经费和公用经费不足，小部分资金用于弥补人员经费和公用经费不足了，在以后工作中尽量做到专款专用。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2" w:firstLineChars="200"/>
        <w:textAlignment w:val="auto"/>
        <w:rPr>
          <w:rFonts w:hint="eastAsia" w:ascii="Calibri" w:hAnsi="黑体" w:eastAsia="黑体" w:cs="黑体"/>
          <w:b/>
          <w:bCs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其他需要说明的情况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Calibri" w:eastAsia="宋体"/>
          <w:sz w:val="24"/>
          <w:szCs w:val="24"/>
          <w:lang w:val="en-US" w:eastAsia="zh-CN"/>
        </w:rPr>
      </w:pPr>
      <w:r>
        <w:rPr>
          <w:rFonts w:hint="eastAsia" w:ascii="Calibri"/>
          <w:sz w:val="24"/>
          <w:szCs w:val="24"/>
          <w:lang w:val="en-US" w:eastAsia="zh-CN"/>
        </w:rPr>
        <w:t xml:space="preserve">    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C8A968"/>
    <w:multiLevelType w:val="singleLevel"/>
    <w:tmpl w:val="AEC8A96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8CEC804"/>
    <w:multiLevelType w:val="singleLevel"/>
    <w:tmpl w:val="D8CEC80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NjcwM2U0NDM4Y2M2NzYyNDJmYzMxNjE0YmI2MmYifQ=="/>
  </w:docVars>
  <w:rsids>
    <w:rsidRoot w:val="00000000"/>
    <w:rsid w:val="0EE9207D"/>
    <w:rsid w:val="165A2932"/>
    <w:rsid w:val="20DC64E6"/>
    <w:rsid w:val="24705D3D"/>
    <w:rsid w:val="2C306D92"/>
    <w:rsid w:val="40D94037"/>
    <w:rsid w:val="420D396B"/>
    <w:rsid w:val="54EC716B"/>
    <w:rsid w:val="64957987"/>
    <w:rsid w:val="70A14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549</Words>
  <Characters>619</Characters>
  <Lines>0</Lines>
  <Paragraphs>0</Paragraphs>
  <TotalTime>27</TotalTime>
  <ScaleCrop>false</ScaleCrop>
  <LinksUpToDate>false</LinksUpToDate>
  <CharactersWithSpaces>619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2023-01-28T02:02:55Z</dcterms:created>
  <dc:creator>Lenovo</dc:creator>
  <cp:lastModifiedBy>小日子</cp:lastModifiedBy>
  <dcterms:modified xsi:type="dcterms:W3CDTF">2024-04-03T02:17:28Z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B5B1B75565784FCA896E0349EC1AFFC4_13</vt:lpwstr>
  </property>
</Properties>
</file>