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lang w:eastAsia="zh-CN"/>
        </w:rPr>
      </w:pPr>
      <w:r>
        <w:rPr>
          <w:rFonts w:hint="eastAsia" w:ascii="黑体" w:hAnsi="黑体" w:eastAsia="黑体" w:cs="黑体"/>
          <w:b/>
          <w:bCs/>
          <w:sz w:val="44"/>
          <w:szCs w:val="44"/>
        </w:rPr>
        <w:t>20</w:t>
      </w:r>
      <w:r>
        <w:rPr>
          <w:rFonts w:hint="eastAsia" w:ascii="黑体" w:hAnsi="黑体" w:eastAsia="黑体" w:cs="黑体"/>
          <w:b/>
          <w:bCs/>
          <w:sz w:val="44"/>
          <w:szCs w:val="44"/>
          <w:lang w:val="en-US" w:eastAsia="zh-CN"/>
        </w:rPr>
        <w:t>23</w:t>
      </w:r>
      <w:r>
        <w:rPr>
          <w:rFonts w:hint="eastAsia" w:ascii="黑体" w:hAnsi="黑体" w:eastAsia="黑体" w:cs="黑体"/>
          <w:b/>
          <w:bCs/>
          <w:sz w:val="44"/>
          <w:szCs w:val="44"/>
        </w:rPr>
        <w:t>年度</w:t>
      </w:r>
      <w:r>
        <w:rPr>
          <w:rFonts w:hint="eastAsia" w:ascii="黑体" w:hAnsi="黑体" w:eastAsia="黑体" w:cs="黑体"/>
          <w:b/>
          <w:bCs/>
          <w:sz w:val="44"/>
          <w:szCs w:val="44"/>
          <w:lang w:eastAsia="zh-CN"/>
        </w:rPr>
        <w:t>衡东县行政审批服务局</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整体支出绩效自评报告</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b/>
          <w:bCs/>
          <w:sz w:val="32"/>
          <w:szCs w:val="32"/>
        </w:rPr>
      </w:pPr>
      <w:r>
        <w:rPr>
          <w:rFonts w:hint="eastAsia" w:ascii="黑体" w:hAnsi="黑体" w:eastAsia="黑体" w:cs="黑体"/>
          <w:b/>
          <w:bCs/>
          <w:sz w:val="32"/>
          <w:szCs w:val="32"/>
        </w:rPr>
        <w:t>一、单位基本情况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（一）部门主要</w:t>
      </w:r>
      <w:r>
        <w:rPr>
          <w:rFonts w:hint="eastAsia" w:ascii="仿宋" w:hAnsi="仿宋" w:eastAsia="仿宋" w:cs="仿宋"/>
          <w:b/>
          <w:bCs/>
          <w:sz w:val="32"/>
          <w:szCs w:val="32"/>
        </w:rPr>
        <w:t>职责</w:t>
      </w:r>
    </w:p>
    <w:p>
      <w:pPr>
        <w:numPr>
          <w:ilvl w:val="0"/>
          <w:numId w:val="0"/>
        </w:numPr>
        <w:spacing w:line="600" w:lineRule="exact"/>
        <w:ind w:firstLine="640" w:firstLineChars="200"/>
        <w:rPr>
          <w:rFonts w:hint="eastAsia"/>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拟订全县行政审批、政务公开（政府信息公开、办事公开）、政务服务、电子政务、数字城市、优化经济环境工作相关政策并组织实施。</w:t>
      </w:r>
    </w:p>
    <w:p>
      <w:pPr>
        <w:numPr>
          <w:ilvl w:val="0"/>
          <w:numId w:val="0"/>
        </w:num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指导、协调、推进全县行政审批制度改革工作。</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统筹协调、规划指导、监督评估全县电子政务工作；统筹推进、监督协调全县“互联网</w:t>
      </w:r>
      <w:r>
        <w:rPr>
          <w:rFonts w:hint="eastAsia" w:ascii="仿宋" w:hAnsi="仿宋" w:eastAsia="仿宋" w:cs="仿宋"/>
          <w:sz w:val="32"/>
          <w:szCs w:val="32"/>
          <w:lang w:val="en-US" w:eastAsia="zh-CN"/>
        </w:rPr>
        <w:t>+政务服务”工作；统筹规划、监督考核全县政府网站。</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4、牵头负责全县“放管服”改革工作，进一步简政放权、优化服务，统筹规划、指导推进高效便捷的“一站式”服务平台建设。</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推进、指导、协调、监督全县政务公开（政府信息公开、办事公开）政务服务体系建设；统筹推进全县政务服务中心、便民服务中心（乡镇）标准化建设；指导监督“12345”政府服务热线工作，牵头负责整合优化政府相关部门、公共企业事业单位、社会组织的社会求助服务电话。</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负责拟订电子政务、数字城市发展战略，编制电子政务、数字城市中长期规划和年度计划并组织实施；提出电子政务、数字城市建设投资总规模及年度投资计划的建议。负责组织全县使用财政性资金建设的电子政务工程和政务信息安全工程项目审查论证工作；会同有关部门组织实施和管理政府投资的电子政务、数字城市项目。</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7、负责组织、协调、指导数据资源的开发利用和共享工作。组织协调跨部门、跨行业、跨领域数字化应用工作。</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负责组织、推进全县电子政务、数字城市基础网络的规划、建设和应用，协调推进政务网络平台互联互通；统筹全县电子政务基础设施、信息系统、数据资源等安全保障工作，负责全县政务信息化平台安全技术和运营体系建设，监督管理县级信息系统和数据库安全工作，协调处理电子政务信息安全的重大事件；负责组织、指导、协调、推进数字认证工作。</w:t>
      </w:r>
    </w:p>
    <w:p>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9、指导、协调、推进全县优化经洗衣机发展环境工作，维护改善营商政务、法制等环境；完善评价机制、协调、推进全县行政效能工作。</w:t>
      </w:r>
    </w:p>
    <w:p>
      <w:pPr>
        <w:pStyle w:val="2"/>
        <w:ind w:left="0" w:leftChars="0" w:firstLine="640" w:firstLineChars="200"/>
        <w:rPr>
          <w:rFonts w:hint="eastAsia" w:ascii="仿宋" w:hAnsi="仿宋" w:eastAsia="仿宋" w:cs="仿宋"/>
          <w:b/>
          <w:bCs/>
          <w:sz w:val="32"/>
          <w:szCs w:val="32"/>
        </w:rPr>
      </w:pPr>
      <w:r>
        <w:rPr>
          <w:rFonts w:hint="eastAsia" w:ascii="仿宋" w:hAnsi="仿宋" w:eastAsia="仿宋" w:cs="仿宋"/>
          <w:sz w:val="32"/>
          <w:szCs w:val="32"/>
          <w:lang w:val="en-US" w:eastAsia="zh-CN"/>
        </w:rPr>
        <w:t>10、完成县委、县政府交办的其他任务。</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（二）人员编制情况</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textAlignment w:val="auto"/>
        <w:outlineLvl w:val="9"/>
        <w:rPr>
          <w:rFonts w:hint="eastAsia"/>
        </w:rPr>
      </w:pPr>
      <w:r>
        <w:rPr>
          <w:rFonts w:hint="eastAsia" w:ascii="仿宋" w:hAnsi="仿宋" w:eastAsia="仿宋" w:cs="仿宋"/>
          <w:sz w:val="32"/>
          <w:szCs w:val="32"/>
          <w:lang w:val="en-US" w:eastAsia="zh-CN"/>
        </w:rPr>
        <w:t>本单位编制人数32名（行政编制7名，事业编制25名），在职人员25人，离休人员0人，退休人员1人。</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834.97</w:t>
      </w:r>
      <w:r>
        <w:rPr>
          <w:rFonts w:hint="eastAsia" w:ascii="仿宋" w:hAnsi="仿宋" w:eastAsia="仿宋" w:cs="仿宋"/>
          <w:sz w:val="32"/>
          <w:szCs w:val="32"/>
        </w:rPr>
        <w:t>万元，其中一般公共财政拨款</w:t>
      </w:r>
      <w:r>
        <w:rPr>
          <w:rFonts w:hint="eastAsia" w:ascii="仿宋" w:hAnsi="仿宋" w:eastAsia="仿宋" w:cs="仿宋"/>
          <w:sz w:val="32"/>
          <w:szCs w:val="32"/>
          <w:lang w:val="en-US" w:eastAsia="zh-CN"/>
        </w:rPr>
        <w:t>834.97</w:t>
      </w:r>
      <w:r>
        <w:rPr>
          <w:rFonts w:hint="eastAsia" w:ascii="仿宋" w:hAnsi="仿宋" w:eastAsia="仿宋" w:cs="仿宋"/>
          <w:sz w:val="32"/>
          <w:szCs w:val="32"/>
        </w:rPr>
        <w:t>万元；20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834.97</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315.97</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519</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年决算总收入</w:t>
      </w:r>
      <w:r>
        <w:rPr>
          <w:rFonts w:hint="eastAsia" w:ascii="仿宋" w:hAnsi="仿宋" w:eastAsia="仿宋" w:cs="仿宋"/>
          <w:sz w:val="32"/>
          <w:szCs w:val="32"/>
          <w:lang w:val="en-US" w:eastAsia="zh-CN"/>
        </w:rPr>
        <w:t>870.51</w:t>
      </w:r>
      <w:r>
        <w:rPr>
          <w:rFonts w:hint="eastAsia" w:ascii="仿宋" w:hAnsi="仿宋" w:eastAsia="仿宋" w:cs="仿宋"/>
          <w:sz w:val="32"/>
          <w:szCs w:val="32"/>
        </w:rPr>
        <w:t>万元，较预算增加</w:t>
      </w:r>
      <w:r>
        <w:rPr>
          <w:rFonts w:hint="eastAsia" w:ascii="仿宋" w:hAnsi="仿宋" w:eastAsia="仿宋" w:cs="仿宋"/>
          <w:sz w:val="32"/>
          <w:szCs w:val="32"/>
          <w:lang w:val="en-US" w:eastAsia="zh-CN"/>
        </w:rPr>
        <w:t>**</w:t>
      </w:r>
      <w:r>
        <w:rPr>
          <w:rFonts w:hint="eastAsia" w:ascii="仿宋" w:hAnsi="仿宋" w:eastAsia="仿宋" w:cs="仿宋"/>
          <w:sz w:val="32"/>
          <w:szCs w:val="32"/>
        </w:rPr>
        <w:t>万元，总支出</w:t>
      </w:r>
      <w:r>
        <w:rPr>
          <w:rFonts w:hint="eastAsia" w:ascii="仿宋" w:hAnsi="仿宋" w:eastAsia="仿宋" w:cs="仿宋"/>
          <w:sz w:val="32"/>
          <w:szCs w:val="32"/>
          <w:lang w:val="en-US" w:eastAsia="zh-CN"/>
        </w:rPr>
        <w:t>35.54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313.66</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36</w:t>
      </w:r>
      <w:r>
        <w:rPr>
          <w:rFonts w:hint="eastAsia" w:ascii="仿宋" w:hAnsi="仿宋" w:eastAsia="仿宋" w:cs="仿宋"/>
          <w:sz w:val="32"/>
          <w:szCs w:val="32"/>
        </w:rPr>
        <w:t>％；项目支出</w:t>
      </w:r>
      <w:r>
        <w:rPr>
          <w:rFonts w:hint="eastAsia" w:ascii="仿宋" w:hAnsi="仿宋" w:eastAsia="仿宋" w:cs="仿宋"/>
          <w:sz w:val="32"/>
          <w:szCs w:val="32"/>
          <w:lang w:val="en-US" w:eastAsia="zh-CN"/>
        </w:rPr>
        <w:t>556.85</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64</w:t>
      </w:r>
      <w:r>
        <w:rPr>
          <w:rFonts w:hint="eastAsia" w:ascii="仿宋" w:hAnsi="仿宋" w:eastAsia="仿宋" w:cs="仿宋"/>
          <w:sz w:val="32"/>
          <w:szCs w:val="32"/>
        </w:rPr>
        <w:t>％。差异产生的主要原因是</w:t>
      </w:r>
      <w:r>
        <w:rPr>
          <w:rFonts w:hint="eastAsia" w:ascii="仿宋" w:hAnsi="仿宋" w:eastAsia="仿宋" w:cs="仿宋"/>
          <w:sz w:val="32"/>
          <w:szCs w:val="32"/>
          <w:lang w:eastAsia="zh-CN"/>
        </w:rPr>
        <w:t>年中追加项目预算经费</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3</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3</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0.66万</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0.66</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万元，其中：货物</w:t>
      </w:r>
      <w:r>
        <w:rPr>
          <w:rFonts w:hint="eastAsia" w:ascii="仿宋" w:hAnsi="仿宋" w:eastAsia="仿宋" w:cs="仿宋"/>
          <w:sz w:val="32"/>
          <w:szCs w:val="32"/>
          <w:lang w:val="en-US" w:eastAsia="zh-CN"/>
        </w:rPr>
        <w:t>0</w:t>
      </w:r>
      <w:r>
        <w:rPr>
          <w:rFonts w:hint="eastAsia" w:ascii="仿宋" w:hAnsi="仿宋" w:eastAsia="仿宋" w:cs="仿宋"/>
          <w:sz w:val="32"/>
          <w:szCs w:val="32"/>
        </w:rPr>
        <w:t>元，工程</w:t>
      </w:r>
      <w:r>
        <w:rPr>
          <w:rFonts w:hint="eastAsia" w:ascii="仿宋" w:hAnsi="仿宋" w:eastAsia="仿宋" w:cs="仿宋"/>
          <w:sz w:val="32"/>
          <w:szCs w:val="32"/>
          <w:lang w:val="en-US" w:eastAsia="zh-CN"/>
        </w:rPr>
        <w:t>0</w:t>
      </w:r>
      <w:r>
        <w:rPr>
          <w:rFonts w:hint="eastAsia" w:ascii="仿宋" w:hAnsi="仿宋" w:eastAsia="仿宋" w:cs="仿宋"/>
          <w:sz w:val="32"/>
          <w:szCs w:val="32"/>
        </w:rPr>
        <w:t>万元，服务</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302.15</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10.41</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291.74</w:t>
      </w:r>
      <w:r>
        <w:rPr>
          <w:rFonts w:hint="eastAsia" w:ascii="仿宋" w:hAnsi="仿宋" w:eastAsia="仿宋" w:cs="仿宋"/>
          <w:sz w:val="32"/>
          <w:szCs w:val="32"/>
        </w:rPr>
        <w:t>万元。截至202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312.37</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312.37</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pStyle w:val="2"/>
        <w:rPr>
          <w:rFonts w:hint="eastAsia"/>
        </w:rPr>
      </w:pPr>
      <w:r>
        <w:rPr>
          <w:rFonts w:hint="eastAsia" w:ascii="仿宋" w:hAnsi="仿宋" w:eastAsia="仿宋" w:cs="仿宋"/>
          <w:b w:val="0"/>
          <w:bCs w:val="0"/>
          <w:sz w:val="32"/>
          <w:szCs w:val="32"/>
          <w:lang w:val="en-US" w:eastAsia="zh-CN"/>
        </w:rPr>
        <w:t>2023年确保了行政审批服务局正常运行</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仅对50万元以上的项目资金进行分项说明</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12345政务便民热线外包项目，保障了“12345”17名话务员人员经费，工资按时到位；</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政务大厅运行经费项目，保障政务大厅正常运行；</w:t>
      </w:r>
    </w:p>
    <w:p>
      <w:pPr>
        <w:pStyle w:val="2"/>
        <w:numPr>
          <w:ilvl w:val="0"/>
          <w:numId w:val="0"/>
        </w:numPr>
        <w:rPr>
          <w:rFonts w:hint="eastAsia" w:ascii="仿宋" w:hAnsi="仿宋" w:eastAsia="仿宋" w:cs="仿宋"/>
          <w:b w:val="0"/>
          <w:bCs w:val="0"/>
          <w:lang w:val="en-US" w:eastAsia="zh-CN"/>
        </w:rPr>
      </w:pPr>
      <w:r>
        <w:rPr>
          <w:rFonts w:hint="eastAsia"/>
          <w:lang w:val="en-US" w:eastAsia="zh-CN"/>
        </w:rPr>
        <w:t xml:space="preserve">    </w:t>
      </w:r>
      <w:r>
        <w:rPr>
          <w:rFonts w:hint="eastAsia" w:ascii="仿宋" w:hAnsi="仿宋" w:eastAsia="仿宋" w:cs="仿宋"/>
          <w:b w:val="0"/>
          <w:bCs w:val="0"/>
          <w:lang w:val="en-US" w:eastAsia="zh-CN"/>
        </w:rPr>
        <w:t>（3）网络维护费项目，保障了政府门户网及12345座席正常运转</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lang w:eastAsia="zh-CN"/>
        </w:rPr>
        <w:t>）乡镇村级电子政务外网租赁，保障了</w:t>
      </w:r>
      <w:r>
        <w:rPr>
          <w:rFonts w:hint="eastAsia" w:ascii="仿宋" w:hAnsi="仿宋" w:eastAsia="仿宋" w:cs="仿宋"/>
          <w:b w:val="0"/>
          <w:bCs w:val="0"/>
          <w:sz w:val="32"/>
          <w:szCs w:val="32"/>
          <w:lang w:val="en-US" w:eastAsia="zh-CN"/>
        </w:rPr>
        <w:t>256个行政村级政务外网网络畅通</w:t>
      </w:r>
    </w:p>
    <w:p>
      <w:pPr>
        <w:pStyle w:val="2"/>
        <w:ind w:left="0" w:leftChars="0" w:firstLine="640" w:firstLineChars="200"/>
        <w:rPr>
          <w:rFonts w:hint="eastAsia" w:ascii="仿宋" w:hAnsi="仿宋" w:eastAsia="仿宋" w:cs="仿宋"/>
          <w:lang w:val="en-US" w:eastAsia="zh-CN"/>
        </w:rPr>
      </w:pPr>
      <w:r>
        <w:rPr>
          <w:rFonts w:hint="eastAsia" w:ascii="仿宋" w:hAnsi="仿宋" w:eastAsia="仿宋" w:cs="仿宋"/>
          <w:lang w:val="en-US" w:eastAsia="zh-CN"/>
        </w:rPr>
        <w:t>（5）综窗改革经费项目，完成了政务服务大厅规范化、标准化、便利化建设</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三、存在的问题及改进措施</w:t>
      </w:r>
    </w:p>
    <w:p>
      <w:pPr>
        <w:pStyle w:val="2"/>
        <w:rPr>
          <w:rFonts w:hint="eastAsia" w:ascii="仿宋" w:hAnsi="仿宋" w:eastAsia="仿宋" w:cs="仿宋"/>
          <w:b w:val="0"/>
          <w:bCs w:val="0"/>
          <w:lang w:eastAsia="zh-CN"/>
        </w:rPr>
      </w:pPr>
      <w:r>
        <w:rPr>
          <w:rFonts w:hint="eastAsia" w:ascii="仿宋" w:hAnsi="仿宋" w:eastAsia="仿宋" w:cs="仿宋"/>
          <w:b w:val="0"/>
          <w:bCs w:val="0"/>
          <w:sz w:val="32"/>
          <w:szCs w:val="32"/>
          <w:lang w:eastAsia="zh-CN"/>
        </w:rPr>
        <w:t>无</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四、其他需要说明的</w:t>
      </w:r>
      <w:bookmarkStart w:id="0" w:name="_GoBack"/>
      <w:bookmarkEnd w:id="0"/>
      <w:r>
        <w:rPr>
          <w:rFonts w:hint="eastAsia" w:ascii="黑体" w:hAnsi="黑体" w:eastAsia="黑体" w:cs="黑体"/>
          <w:b/>
          <w:bCs/>
          <w:sz w:val="32"/>
          <w:szCs w:val="32"/>
        </w:rPr>
        <w:t>情况</w:t>
      </w:r>
    </w:p>
    <w:p>
      <w:pPr>
        <w:pStyle w:val="6"/>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3003E"/>
    <w:multiLevelType w:val="singleLevel"/>
    <w:tmpl w:val="BC13003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wYTI1N2IxMjk3MjQyOGYzZjdkYzIxYjhhMTkyNTEifQ=="/>
  </w:docVars>
  <w:rsids>
    <w:rsidRoot w:val="12F71DCD"/>
    <w:rsid w:val="12F71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left="420" w:leftChars="200" w:firstLine="210"/>
    </w:pPr>
  </w:style>
  <w:style w:type="paragraph" w:styleId="3">
    <w:name w:val="Body Text Indent"/>
    <w:basedOn w:val="1"/>
    <w:qFormat/>
    <w:uiPriority w:val="0"/>
    <w:pPr>
      <w:ind w:firstLine="668" w:firstLineChars="200"/>
    </w:pPr>
    <w:rPr>
      <w:rFonts w:eastAsia="方正仿宋简体"/>
      <w:sz w:val="32"/>
    </w:rPr>
  </w:style>
  <w:style w:type="paragraph" w:customStyle="1" w:styleId="6">
    <w:name w:val="BodyText1I"/>
    <w:basedOn w:val="1"/>
    <w:autoRedefine/>
    <w:qFormat/>
    <w:uiPriority w:val="99"/>
    <w:pPr>
      <w:snapToGrid w:val="0"/>
      <w:spacing w:line="360" w:lineRule="auto"/>
      <w:ind w:firstLine="420" w:firstLineChars="100"/>
    </w:pPr>
    <w:rPr>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2024-04-02T07:45:00Z</dcterms:created>
  <dc:creator>冬致夏陌</dc:creator>
  <cp:lastModifiedBy>冬致夏陌</cp:lastModifiedBy>
  <dcterms:modified xsi:type="dcterms:W3CDTF">2024-04-02T08:16:57Z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49B98D423EA44602A92FE5049D78066C_11</vt:lpwstr>
  </property>
</Properties>
</file>