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BD6799">
      <w:pPr>
        <w:jc w:val="left"/>
        <w:rPr>
          <w:rFonts w:ascii="黑体" w:hAnsi="黑体" w:eastAsia="黑体" w:cs="黑体"/>
          <w:b/>
          <w:bCs/>
          <w:sz w:val="32"/>
          <w:szCs w:val="32"/>
        </w:rPr>
      </w:pPr>
      <w:r>
        <w:rPr>
          <w:rFonts w:hint="eastAsia" w:ascii="黑体" w:hAnsi="黑体" w:eastAsia="黑体" w:cs="黑体"/>
          <w:b/>
          <w:bCs/>
          <w:sz w:val="32"/>
          <w:szCs w:val="32"/>
        </w:rPr>
        <w:t>附件1：</w:t>
      </w:r>
    </w:p>
    <w:p w14:paraId="6FEE4E31">
      <w:pPr>
        <w:jc w:val="left"/>
        <w:rPr>
          <w:rFonts w:ascii="黑体" w:hAnsi="黑体" w:eastAsia="黑体" w:cs="黑体"/>
          <w:b/>
          <w:bCs/>
          <w:sz w:val="32"/>
          <w:szCs w:val="32"/>
        </w:rPr>
      </w:pPr>
    </w:p>
    <w:p w14:paraId="47362EDF">
      <w:pPr>
        <w:spacing w:line="360" w:lineRule="auto"/>
        <w:jc w:val="center"/>
        <w:rPr>
          <w:rFonts w:ascii="黑体" w:hAnsi="黑体" w:eastAsia="黑体" w:cs="黑体"/>
          <w:b/>
          <w:bCs/>
          <w:sz w:val="44"/>
          <w:szCs w:val="44"/>
        </w:rPr>
      </w:pPr>
      <w:r>
        <w:rPr>
          <w:rFonts w:hint="eastAsia" w:ascii="黑体" w:hAnsi="黑体" w:eastAsia="黑体" w:cs="黑体"/>
          <w:b/>
          <w:bCs/>
          <w:sz w:val="44"/>
          <w:szCs w:val="44"/>
        </w:rPr>
        <w:t>2023年度部门整体支出绩效自评报告</w:t>
      </w:r>
    </w:p>
    <w:p w14:paraId="1DECD15A">
      <w:pPr>
        <w:spacing w:line="360" w:lineRule="auto"/>
        <w:jc w:val="center"/>
      </w:pPr>
    </w:p>
    <w:p w14:paraId="66D8A713">
      <w:pPr>
        <w:adjustRightInd w:val="0"/>
        <w:snapToGrid w:val="0"/>
        <w:spacing w:line="360" w:lineRule="auto"/>
        <w:ind w:firstLine="321" w:firstLineChars="100"/>
        <w:rPr>
          <w:rFonts w:ascii="黑体" w:hAnsi="黑体" w:eastAsia="黑体" w:cs="黑体"/>
          <w:b/>
          <w:bCs/>
          <w:sz w:val="32"/>
          <w:szCs w:val="32"/>
        </w:rPr>
      </w:pPr>
      <w:r>
        <w:rPr>
          <w:rFonts w:hint="eastAsia" w:ascii="黑体" w:hAnsi="黑体" w:eastAsia="黑体" w:cs="黑体"/>
          <w:b/>
          <w:bCs/>
          <w:sz w:val="32"/>
          <w:szCs w:val="32"/>
        </w:rPr>
        <w:t>一、单位基本情况</w:t>
      </w:r>
    </w:p>
    <w:p w14:paraId="32EFCF93">
      <w:pPr>
        <w:adjustRightInd w:val="0"/>
        <w:snapToGrid w:val="0"/>
        <w:spacing w:line="360" w:lineRule="auto"/>
        <w:ind w:firstLine="321" w:firstLineChars="100"/>
        <w:rPr>
          <w:rFonts w:ascii="仿宋" w:hAnsi="仿宋" w:eastAsia="仿宋" w:cs="仿宋"/>
          <w:b/>
          <w:bCs/>
          <w:sz w:val="32"/>
          <w:szCs w:val="32"/>
        </w:rPr>
      </w:pPr>
      <w:r>
        <w:rPr>
          <w:rFonts w:hint="eastAsia" w:ascii="仿宋" w:hAnsi="仿宋" w:eastAsia="仿宋" w:cs="仿宋"/>
          <w:b/>
          <w:bCs/>
          <w:sz w:val="32"/>
          <w:szCs w:val="32"/>
        </w:rPr>
        <w:t>（一）部门主要职责</w:t>
      </w:r>
    </w:p>
    <w:p w14:paraId="044AAB78">
      <w:pPr>
        <w:pStyle w:val="2"/>
        <w:rPr>
          <w:rFonts w:ascii="仿宋" w:hAnsi="仿宋" w:eastAsia="仿宋"/>
          <w:sz w:val="32"/>
          <w:szCs w:val="32"/>
        </w:rPr>
      </w:pPr>
      <w:r>
        <w:rPr>
          <w:rFonts w:hint="eastAsia" w:ascii="仿宋" w:hAnsi="仿宋" w:eastAsia="仿宋"/>
          <w:sz w:val="32"/>
          <w:szCs w:val="32"/>
        </w:rPr>
        <w:t>（一）宣传、贯彻、执行《中华人民共和国红十字会法》、《中华人民共和国献血法》等法律法规;宣传国际红十字会和红新月运动的基本原则及日内瓦公约附加议定书。</w:t>
      </w:r>
      <w:r>
        <w:rPr>
          <w:rFonts w:ascii="仿宋" w:hAnsi="仿宋" w:eastAsia="仿宋"/>
          <w:sz w:val="32"/>
          <w:szCs w:val="32"/>
        </w:rPr>
        <w:t xml:space="preserve"> </w:t>
      </w:r>
    </w:p>
    <w:p w14:paraId="1B8A47B5">
      <w:pPr>
        <w:pStyle w:val="2"/>
        <w:rPr>
          <w:rFonts w:ascii="仿宋" w:hAnsi="仿宋" w:eastAsia="仿宋"/>
          <w:sz w:val="32"/>
          <w:szCs w:val="32"/>
        </w:rPr>
      </w:pPr>
      <w:r>
        <w:rPr>
          <w:rFonts w:hint="eastAsia" w:ascii="仿宋" w:hAnsi="仿宋" w:eastAsia="仿宋"/>
          <w:sz w:val="32"/>
          <w:szCs w:val="32"/>
        </w:rPr>
        <w:t>（二）开展卫生救护培训，组织动员群众参加意外伤害和自然灾害的现场救护。</w:t>
      </w:r>
      <w:r>
        <w:rPr>
          <w:rFonts w:ascii="仿宋" w:hAnsi="仿宋" w:eastAsia="仿宋"/>
          <w:sz w:val="32"/>
          <w:szCs w:val="32"/>
        </w:rPr>
        <w:t xml:space="preserve"> </w:t>
      </w:r>
    </w:p>
    <w:p w14:paraId="5CA7B002">
      <w:pPr>
        <w:pStyle w:val="2"/>
        <w:rPr>
          <w:rFonts w:ascii="仿宋" w:hAnsi="仿宋" w:eastAsia="仿宋"/>
          <w:sz w:val="32"/>
          <w:szCs w:val="32"/>
        </w:rPr>
      </w:pPr>
      <w:r>
        <w:rPr>
          <w:rFonts w:hint="eastAsia" w:ascii="仿宋" w:hAnsi="仿宋" w:eastAsia="仿宋"/>
          <w:sz w:val="32"/>
          <w:szCs w:val="32"/>
        </w:rPr>
        <w:t>（三）开展救灾备灾工作;在自然灾害和突发事件中，对伤病人员和其他受害者进行救助;协助政府组织抗灾救灾。</w:t>
      </w:r>
      <w:r>
        <w:rPr>
          <w:rFonts w:ascii="仿宋" w:hAnsi="仿宋" w:eastAsia="仿宋"/>
          <w:sz w:val="32"/>
          <w:szCs w:val="32"/>
        </w:rPr>
        <w:t xml:space="preserve"> </w:t>
      </w:r>
    </w:p>
    <w:p w14:paraId="183DD669">
      <w:pPr>
        <w:pStyle w:val="2"/>
        <w:rPr>
          <w:rFonts w:ascii="仿宋" w:hAnsi="仿宋" w:eastAsia="仿宋"/>
          <w:sz w:val="32"/>
          <w:szCs w:val="32"/>
        </w:rPr>
      </w:pPr>
      <w:r>
        <w:rPr>
          <w:rFonts w:hint="eastAsia" w:ascii="仿宋" w:hAnsi="仿宋" w:eastAsia="仿宋"/>
          <w:sz w:val="32"/>
          <w:szCs w:val="32"/>
        </w:rPr>
        <w:t>（四）参与、推动无偿献血、遗体和人体器官捐献工作;参与开展造血干细胞捐献的相关工作。</w:t>
      </w:r>
      <w:r>
        <w:rPr>
          <w:rFonts w:ascii="仿宋" w:hAnsi="仿宋" w:eastAsia="仿宋"/>
          <w:sz w:val="32"/>
          <w:szCs w:val="32"/>
        </w:rPr>
        <w:t xml:space="preserve"> </w:t>
      </w:r>
    </w:p>
    <w:p w14:paraId="2A89E74D">
      <w:pPr>
        <w:pStyle w:val="2"/>
        <w:rPr>
          <w:rFonts w:ascii="仿宋" w:hAnsi="仿宋" w:eastAsia="仿宋"/>
          <w:sz w:val="32"/>
          <w:szCs w:val="32"/>
        </w:rPr>
      </w:pPr>
      <w:r>
        <w:rPr>
          <w:rFonts w:hint="eastAsia" w:ascii="仿宋" w:hAnsi="仿宋" w:eastAsia="仿宋"/>
          <w:sz w:val="32"/>
          <w:szCs w:val="32"/>
        </w:rPr>
        <w:t>（五）依法开展社会募捐活动;开展无法查明身份人员和特困户应急救助工作;开展其他人道主义服务活动。</w:t>
      </w:r>
      <w:r>
        <w:rPr>
          <w:rFonts w:ascii="仿宋" w:hAnsi="仿宋" w:eastAsia="仿宋"/>
          <w:sz w:val="32"/>
          <w:szCs w:val="32"/>
        </w:rPr>
        <w:t xml:space="preserve"> </w:t>
      </w:r>
    </w:p>
    <w:p w14:paraId="56609F70">
      <w:pPr>
        <w:pStyle w:val="2"/>
        <w:rPr>
          <w:rFonts w:ascii="仿宋" w:hAnsi="仿宋" w:eastAsia="仿宋"/>
          <w:sz w:val="32"/>
          <w:szCs w:val="32"/>
        </w:rPr>
      </w:pPr>
      <w:r>
        <w:rPr>
          <w:rFonts w:hint="eastAsia" w:ascii="仿宋" w:hAnsi="仿宋" w:eastAsia="仿宋"/>
          <w:sz w:val="32"/>
          <w:szCs w:val="32"/>
        </w:rPr>
        <w:t>（六）负责管理和发展红十字会会员、志愿工作者，组织开展符合红十字会宗旨的社会服务工作。</w:t>
      </w:r>
      <w:r>
        <w:rPr>
          <w:rFonts w:ascii="仿宋" w:hAnsi="仿宋" w:eastAsia="仿宋"/>
          <w:sz w:val="32"/>
          <w:szCs w:val="32"/>
        </w:rPr>
        <w:t xml:space="preserve"> </w:t>
      </w:r>
    </w:p>
    <w:p w14:paraId="63B7E592">
      <w:pPr>
        <w:pStyle w:val="2"/>
        <w:rPr>
          <w:rFonts w:ascii="仿宋" w:hAnsi="仿宋" w:eastAsia="仿宋"/>
          <w:sz w:val="32"/>
          <w:szCs w:val="32"/>
        </w:rPr>
      </w:pPr>
      <w:r>
        <w:rPr>
          <w:rFonts w:hint="eastAsia" w:ascii="仿宋" w:hAnsi="仿宋" w:eastAsia="仿宋"/>
          <w:sz w:val="32"/>
          <w:szCs w:val="32"/>
        </w:rPr>
        <w:t>（七）开展红十字青少年活动。</w:t>
      </w:r>
      <w:r>
        <w:rPr>
          <w:rFonts w:ascii="仿宋" w:hAnsi="仿宋" w:eastAsia="仿宋"/>
          <w:sz w:val="32"/>
          <w:szCs w:val="32"/>
        </w:rPr>
        <w:t xml:space="preserve"> </w:t>
      </w:r>
    </w:p>
    <w:p w14:paraId="7C4D48AA">
      <w:pPr>
        <w:pStyle w:val="2"/>
        <w:rPr>
          <w:rFonts w:ascii="仿宋" w:hAnsi="仿宋" w:eastAsia="仿宋"/>
          <w:sz w:val="32"/>
          <w:szCs w:val="32"/>
        </w:rPr>
      </w:pPr>
      <w:r>
        <w:rPr>
          <w:rFonts w:hint="eastAsia" w:ascii="仿宋" w:hAnsi="仿宋" w:eastAsia="仿宋"/>
          <w:sz w:val="32"/>
          <w:szCs w:val="32"/>
        </w:rPr>
        <w:t>（八）参加国际人道主义救援工作，开展国际国内红十字会交流与合作。</w:t>
      </w:r>
      <w:r>
        <w:rPr>
          <w:rFonts w:ascii="仿宋" w:hAnsi="仿宋" w:eastAsia="仿宋"/>
          <w:sz w:val="32"/>
          <w:szCs w:val="32"/>
        </w:rPr>
        <w:t xml:space="preserve"> </w:t>
      </w:r>
    </w:p>
    <w:p w14:paraId="1F07CE3A">
      <w:pPr>
        <w:pStyle w:val="2"/>
        <w:rPr>
          <w:rFonts w:ascii="仿宋" w:hAnsi="仿宋" w:eastAsia="仿宋"/>
          <w:sz w:val="32"/>
          <w:szCs w:val="32"/>
        </w:rPr>
      </w:pPr>
      <w:r>
        <w:rPr>
          <w:rFonts w:hint="eastAsia" w:ascii="仿宋" w:hAnsi="仿宋" w:eastAsia="仿宋"/>
          <w:sz w:val="32"/>
          <w:szCs w:val="32"/>
        </w:rPr>
        <w:t>（九）依照国际红十字会和红新月运动的基本原则，完成人民政府委托事宜。</w:t>
      </w:r>
      <w:r>
        <w:rPr>
          <w:rFonts w:ascii="仿宋" w:hAnsi="仿宋" w:eastAsia="仿宋"/>
          <w:sz w:val="32"/>
          <w:szCs w:val="32"/>
        </w:rPr>
        <w:t xml:space="preserve"> </w:t>
      </w:r>
    </w:p>
    <w:p w14:paraId="269BFD8D">
      <w:pPr>
        <w:pStyle w:val="2"/>
        <w:rPr>
          <w:rFonts w:ascii="仿宋" w:hAnsi="仿宋" w:eastAsia="仿宋"/>
          <w:sz w:val="32"/>
          <w:szCs w:val="32"/>
        </w:rPr>
      </w:pPr>
      <w:r>
        <w:rPr>
          <w:rFonts w:hint="eastAsia" w:ascii="仿宋" w:hAnsi="仿宋" w:eastAsia="仿宋"/>
          <w:sz w:val="32"/>
          <w:szCs w:val="32"/>
        </w:rPr>
        <w:t>（十）依照日内瓦公约及其附加议定书的有关规定开展工作。</w:t>
      </w:r>
      <w:r>
        <w:rPr>
          <w:rFonts w:ascii="仿宋" w:hAnsi="仿宋" w:eastAsia="仿宋"/>
          <w:sz w:val="32"/>
          <w:szCs w:val="32"/>
        </w:rPr>
        <w:t xml:space="preserve"> </w:t>
      </w:r>
    </w:p>
    <w:p w14:paraId="1893DD01">
      <w:pPr>
        <w:pStyle w:val="2"/>
      </w:pPr>
    </w:p>
    <w:p w14:paraId="657DB78B">
      <w:pPr>
        <w:adjustRightInd w:val="0"/>
        <w:snapToGrid w:val="0"/>
        <w:spacing w:line="360" w:lineRule="auto"/>
        <w:ind w:firstLine="321" w:firstLineChars="100"/>
        <w:rPr>
          <w:rFonts w:ascii="仿宋" w:hAnsi="仿宋" w:eastAsia="仿宋" w:cs="仿宋"/>
          <w:b/>
          <w:bCs/>
          <w:sz w:val="32"/>
          <w:szCs w:val="32"/>
        </w:rPr>
      </w:pPr>
      <w:r>
        <w:rPr>
          <w:rFonts w:hint="eastAsia" w:ascii="仿宋" w:hAnsi="仿宋" w:eastAsia="仿宋" w:cs="仿宋"/>
          <w:b/>
          <w:bCs/>
          <w:sz w:val="32"/>
          <w:szCs w:val="32"/>
        </w:rPr>
        <w:t>（二）人员编制情况</w:t>
      </w:r>
    </w:p>
    <w:p w14:paraId="1593EE44">
      <w:pPr>
        <w:pStyle w:val="2"/>
      </w:pPr>
      <w:r>
        <w:rPr>
          <w:rFonts w:hint="eastAsia" w:ascii="仿宋" w:hAnsi="仿宋" w:eastAsia="仿宋"/>
          <w:sz w:val="32"/>
          <w:szCs w:val="32"/>
        </w:rPr>
        <w:t>本部门共有编制数是10 个，实有人数7个。本单位内设股室4个，分别为办公室、财务股、赈济服务股、救护培训股。</w:t>
      </w:r>
    </w:p>
    <w:p w14:paraId="6560A4F5">
      <w:pPr>
        <w:adjustRightInd w:val="0"/>
        <w:snapToGrid w:val="0"/>
        <w:spacing w:line="360" w:lineRule="auto"/>
        <w:ind w:firstLine="321" w:firstLineChars="100"/>
        <w:rPr>
          <w:rFonts w:ascii="黑体" w:hAnsi="黑体" w:eastAsia="黑体" w:cs="黑体"/>
          <w:sz w:val="32"/>
          <w:szCs w:val="32"/>
        </w:rPr>
      </w:pPr>
      <w:r>
        <w:rPr>
          <w:rFonts w:hint="eastAsia" w:ascii="黑体" w:hAnsi="黑体" w:eastAsia="黑体" w:cs="黑体"/>
          <w:b/>
          <w:bCs/>
          <w:sz w:val="32"/>
          <w:szCs w:val="32"/>
        </w:rPr>
        <w:t>二、预算支出及绩效情况</w:t>
      </w:r>
    </w:p>
    <w:p w14:paraId="7A1FA8C2">
      <w:pPr>
        <w:adjustRightInd w:val="0"/>
        <w:snapToGrid w:val="0"/>
        <w:spacing w:line="360" w:lineRule="auto"/>
        <w:ind w:firstLine="321" w:firstLineChars="100"/>
        <w:rPr>
          <w:rFonts w:ascii="仿宋" w:hAnsi="仿宋" w:eastAsia="仿宋" w:cs="仿宋"/>
          <w:b/>
          <w:bCs/>
          <w:sz w:val="32"/>
          <w:szCs w:val="32"/>
        </w:rPr>
      </w:pPr>
      <w:r>
        <w:rPr>
          <w:rFonts w:hint="eastAsia" w:ascii="仿宋" w:hAnsi="仿宋" w:eastAsia="仿宋" w:cs="仿宋"/>
          <w:b/>
          <w:bCs/>
          <w:sz w:val="32"/>
          <w:szCs w:val="32"/>
        </w:rPr>
        <w:t>（一）部门预决算情况</w:t>
      </w:r>
    </w:p>
    <w:p w14:paraId="4A09D5C5">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1.部门预算情况</w:t>
      </w:r>
    </w:p>
    <w:p w14:paraId="40C0722A">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2023年年初预算安排收入107.7万元，其中一般公共财政拨款107.7万元；2023年年初预算安排支出107.7万元，其中：基本支出80.7万元，项目支出27万元。</w:t>
      </w:r>
    </w:p>
    <w:p w14:paraId="68D3B89A">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2.部门决算情况（含年中预算追加情况）</w:t>
      </w:r>
    </w:p>
    <w:p w14:paraId="73605CAD">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2023年决算总收入107.7万元，较预算增加0万元，总支出107.7万元，其中：基本支出94.8万元，占总支出的88％；项目支出12.9万元，占总支出的12％。</w:t>
      </w:r>
    </w:p>
    <w:p w14:paraId="1DC037E6">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3.“三公"经费执行情况</w:t>
      </w:r>
    </w:p>
    <w:p w14:paraId="23986092">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2023年“三公"经费预算数0.1万元，其中：因公出国（境）费0万元，公务用车购置及运行维护费0万元，公务接待费0万元。“三公"经费决算数0.</w:t>
      </w:r>
      <w:r>
        <w:rPr>
          <w:rFonts w:hint="eastAsia" w:ascii="仿宋" w:hAnsi="仿宋" w:eastAsia="仿宋" w:cs="仿宋"/>
          <w:sz w:val="32"/>
          <w:szCs w:val="32"/>
          <w:lang w:val="en-US" w:eastAsia="zh-CN"/>
        </w:rPr>
        <w:t>19</w:t>
      </w:r>
      <w:r>
        <w:rPr>
          <w:rFonts w:hint="eastAsia" w:ascii="仿宋" w:hAnsi="仿宋" w:eastAsia="仿宋" w:cs="仿宋"/>
          <w:sz w:val="32"/>
          <w:szCs w:val="32"/>
        </w:rPr>
        <w:t>万元，其中：因公出国（境）费0万元，公务用车运行维护费0万元，公务接待费0.</w:t>
      </w:r>
      <w:r>
        <w:rPr>
          <w:rFonts w:hint="eastAsia" w:ascii="仿宋" w:hAnsi="仿宋" w:eastAsia="仿宋" w:cs="仿宋"/>
          <w:sz w:val="32"/>
          <w:szCs w:val="32"/>
          <w:lang w:val="en-US" w:eastAsia="zh-CN"/>
        </w:rPr>
        <w:t>19</w:t>
      </w:r>
      <w:r>
        <w:rPr>
          <w:rFonts w:hint="eastAsia" w:ascii="仿宋" w:hAnsi="仿宋" w:eastAsia="仿宋" w:cs="仿宋"/>
          <w:sz w:val="32"/>
          <w:szCs w:val="32"/>
        </w:rPr>
        <w:t>万元。</w:t>
      </w:r>
    </w:p>
    <w:p w14:paraId="761F4038">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4.政府采购执行情况</w:t>
      </w:r>
    </w:p>
    <w:p w14:paraId="64922E7A">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2023年度政府采购支出0万元，其中：货物0元，工程0万元，服务0万元。</w:t>
      </w:r>
    </w:p>
    <w:p w14:paraId="1A8A6E3C">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5.资产管理情况</w:t>
      </w:r>
    </w:p>
    <w:p w14:paraId="1EA73E26">
      <w:pPr>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2023年年末资产总额9.8万元，负债总额1.88万元，净资产7.91万元。截至2023年12月31日，固定资产账面原值2</w:t>
      </w:r>
      <w:r>
        <w:rPr>
          <w:rFonts w:hint="eastAsia" w:ascii="仿宋" w:hAnsi="仿宋" w:eastAsia="仿宋" w:cs="仿宋"/>
          <w:sz w:val="32"/>
          <w:szCs w:val="32"/>
          <w:lang w:val="en-US" w:eastAsia="zh-CN"/>
        </w:rPr>
        <w:t>4.38</w:t>
      </w:r>
      <w:r>
        <w:rPr>
          <w:rFonts w:hint="eastAsia" w:ascii="仿宋" w:hAnsi="仿宋" w:eastAsia="仿宋" w:cs="仿宋"/>
          <w:sz w:val="32"/>
          <w:szCs w:val="32"/>
        </w:rPr>
        <w:t>万元，在用资产</w:t>
      </w:r>
      <w:r>
        <w:rPr>
          <w:rFonts w:hint="eastAsia" w:ascii="仿宋" w:hAnsi="仿宋" w:eastAsia="仿宋" w:cs="仿宋"/>
          <w:sz w:val="32"/>
          <w:szCs w:val="32"/>
          <w:lang w:val="en-US" w:eastAsia="zh-CN"/>
        </w:rPr>
        <w:t>24.38</w:t>
      </w:r>
      <w:bookmarkStart w:id="0" w:name="_GoBack"/>
      <w:bookmarkEnd w:id="0"/>
      <w:r>
        <w:rPr>
          <w:rFonts w:hint="eastAsia" w:ascii="仿宋" w:hAnsi="仿宋" w:eastAsia="仿宋" w:cs="仿宋"/>
          <w:sz w:val="32"/>
          <w:szCs w:val="32"/>
        </w:rPr>
        <w:t>万元，资产使用率100%。</w:t>
      </w:r>
    </w:p>
    <w:p w14:paraId="2469DD9A">
      <w:pPr>
        <w:adjustRightInd w:val="0"/>
        <w:snapToGrid w:val="0"/>
        <w:spacing w:line="360" w:lineRule="auto"/>
        <w:ind w:firstLine="321" w:firstLineChars="100"/>
        <w:rPr>
          <w:rFonts w:ascii="仿宋" w:hAnsi="仿宋" w:eastAsia="仿宋" w:cs="仿宋"/>
          <w:sz w:val="32"/>
          <w:szCs w:val="32"/>
        </w:rPr>
      </w:pPr>
      <w:r>
        <w:rPr>
          <w:rFonts w:hint="eastAsia" w:ascii="仿宋" w:hAnsi="仿宋" w:eastAsia="仿宋" w:cs="仿宋"/>
          <w:b/>
          <w:bCs/>
          <w:sz w:val="32"/>
          <w:szCs w:val="32"/>
        </w:rPr>
        <w:t>（二）资金使用及绩效情况</w:t>
      </w:r>
    </w:p>
    <w:p w14:paraId="3257F524">
      <w:pPr>
        <w:adjustRightInd w:val="0"/>
        <w:snapToGrid w:val="0"/>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1.整体绩效目标完成情况</w:t>
      </w:r>
    </w:p>
    <w:p w14:paraId="185F5EA3">
      <w:pPr>
        <w:adjustRightInd w:val="0"/>
        <w:snapToGrid w:val="0"/>
        <w:spacing w:line="360" w:lineRule="auto"/>
        <w:ind w:firstLine="643" w:firstLineChars="200"/>
        <w:rPr>
          <w:rFonts w:ascii="仿宋" w:hAnsi="仿宋" w:eastAsia="仿宋" w:cs="仿宋"/>
          <w:sz w:val="32"/>
          <w:szCs w:val="32"/>
        </w:rPr>
      </w:pPr>
      <w:r>
        <w:rPr>
          <w:rFonts w:hint="eastAsia" w:ascii="仿宋" w:hAnsi="仿宋" w:eastAsia="仿宋" w:cs="仿宋"/>
          <w:b/>
          <w:bCs/>
          <w:sz w:val="32"/>
          <w:szCs w:val="32"/>
        </w:rPr>
        <w:t>2.项目绩效目标完成情况（仅对50万元以上的项目资金进行分项说明）</w:t>
      </w:r>
    </w:p>
    <w:p w14:paraId="48FF7D6C">
      <w:pPr>
        <w:adjustRightInd w:val="0"/>
        <w:snapToGrid w:val="0"/>
        <w:spacing w:line="360" w:lineRule="auto"/>
        <w:ind w:firstLine="640" w:firstLineChars="200"/>
        <w:rPr>
          <w:rFonts w:ascii="黑体" w:hAnsi="黑体" w:eastAsia="黑体" w:cs="黑体"/>
          <w:sz w:val="32"/>
          <w:szCs w:val="32"/>
        </w:rPr>
      </w:pPr>
    </w:p>
    <w:p w14:paraId="56D4E98C">
      <w:pPr>
        <w:adjustRightInd w:val="0"/>
        <w:snapToGrid w:val="0"/>
        <w:spacing w:line="360" w:lineRule="auto"/>
        <w:ind w:firstLine="643" w:firstLineChars="200"/>
        <w:rPr>
          <w:rFonts w:ascii="黑体" w:hAnsi="黑体" w:eastAsia="黑体" w:cs="黑体"/>
          <w:b/>
          <w:bCs/>
          <w:sz w:val="32"/>
          <w:szCs w:val="32"/>
        </w:rPr>
      </w:pPr>
      <w:r>
        <w:rPr>
          <w:rFonts w:hint="eastAsia" w:ascii="黑体" w:hAnsi="黑体" w:eastAsia="黑体" w:cs="黑体"/>
          <w:b/>
          <w:bCs/>
          <w:sz w:val="32"/>
          <w:szCs w:val="32"/>
        </w:rPr>
        <w:t>三、存在的问题及改进措施</w:t>
      </w:r>
    </w:p>
    <w:p w14:paraId="45051A8B">
      <w:pPr>
        <w:spacing w:line="640" w:lineRule="exact"/>
        <w:ind w:firstLine="640" w:firstLineChars="200"/>
        <w:rPr>
          <w:rFonts w:ascii="仿宋" w:hAnsi="仿宋" w:eastAsia="仿宋"/>
          <w:sz w:val="32"/>
          <w:szCs w:val="32"/>
        </w:rPr>
      </w:pPr>
      <w:r>
        <w:rPr>
          <w:rFonts w:hint="eastAsia" w:ascii="仿宋" w:hAnsi="仿宋" w:eastAsia="仿宋"/>
          <w:sz w:val="32"/>
          <w:szCs w:val="32"/>
        </w:rPr>
        <w:t>存在问题：年末存在多个项目未支付款项。</w:t>
      </w:r>
    </w:p>
    <w:p w14:paraId="1BFEB895">
      <w:pPr>
        <w:spacing w:line="640" w:lineRule="exact"/>
        <w:ind w:firstLine="640" w:firstLineChars="200"/>
        <w:rPr>
          <w:rFonts w:ascii="仿宋" w:hAnsi="仿宋" w:eastAsia="仿宋"/>
          <w:sz w:val="32"/>
          <w:szCs w:val="32"/>
        </w:rPr>
      </w:pPr>
      <w:r>
        <w:rPr>
          <w:rFonts w:hint="eastAsia" w:ascii="仿宋" w:hAnsi="仿宋" w:eastAsia="仿宋"/>
          <w:sz w:val="32"/>
          <w:szCs w:val="32"/>
        </w:rPr>
        <w:t>改进措施：款项及时支付，不留账目到年底。</w:t>
      </w:r>
    </w:p>
    <w:p w14:paraId="7F1155B6">
      <w:pPr>
        <w:pStyle w:val="2"/>
      </w:pPr>
    </w:p>
    <w:p w14:paraId="42D166D1">
      <w:pPr>
        <w:adjustRightInd w:val="0"/>
        <w:snapToGrid w:val="0"/>
        <w:spacing w:line="360" w:lineRule="auto"/>
        <w:ind w:firstLine="643" w:firstLineChars="200"/>
        <w:rPr>
          <w:rFonts w:ascii="黑体" w:hAnsi="黑体" w:eastAsia="黑体" w:cs="黑体"/>
          <w:b/>
          <w:bCs/>
          <w:sz w:val="32"/>
          <w:szCs w:val="32"/>
        </w:rPr>
      </w:pPr>
      <w:r>
        <w:rPr>
          <w:rFonts w:hint="eastAsia" w:ascii="黑体" w:hAnsi="黑体" w:eastAsia="黑体" w:cs="黑体"/>
          <w:b/>
          <w:bCs/>
          <w:sz w:val="32"/>
          <w:szCs w:val="32"/>
        </w:rPr>
        <w:t>四、其他需要说明的情况</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hkZTg1ZmMyOThhZTA2ZjhkYWI0MTliYzU4MDUzN2IifQ=="/>
  </w:docVars>
  <w:rsids>
    <w:rsidRoot w:val="001058F2"/>
    <w:rsid w:val="000C111A"/>
    <w:rsid w:val="001058F2"/>
    <w:rsid w:val="00213A9A"/>
    <w:rsid w:val="00255E12"/>
    <w:rsid w:val="002F63A3"/>
    <w:rsid w:val="00354DD1"/>
    <w:rsid w:val="004D1311"/>
    <w:rsid w:val="004D3181"/>
    <w:rsid w:val="004E0900"/>
    <w:rsid w:val="008C3299"/>
    <w:rsid w:val="00A17A1B"/>
    <w:rsid w:val="00CC58A8"/>
    <w:rsid w:val="00D23C38"/>
    <w:rsid w:val="1F6E721C"/>
    <w:rsid w:val="20DC64E6"/>
    <w:rsid w:val="24705D3D"/>
    <w:rsid w:val="2C306D92"/>
    <w:rsid w:val="36C75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qFormat/>
    <w:uiPriority w:val="0"/>
    <w:pPr>
      <w:ind w:left="420" w:leftChars="200" w:firstLine="210"/>
    </w:pPr>
  </w:style>
  <w:style w:type="paragraph" w:styleId="4">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1011</Words>
  <Characters>1105</Characters>
  <Lines>8</Lines>
  <Paragraphs>2</Paragraphs>
  <TotalTime>817</TotalTime>
  <ScaleCrop>false</ScaleCrop>
  <LinksUpToDate>false</LinksUpToDate>
  <CharactersWithSpaces>1116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2024-03-27T08:12:00Z</dcterms:created>
  <dc:creator>Lenovo</dc:creator>
  <cp:lastModifiedBy>Administrator</cp:lastModifiedBy>
  <cp:lastPrinted>2024-03-28T08:52:00Z</cp:lastPrinted>
  <dcterms:modified xsi:type="dcterms:W3CDTF">2024-10-15T02:34:22Z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618E8343C4F2437AA9AF2EBAB4703E06</vt:lpwstr>
  </property>
</Properties>
</file>