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附件1：</w:t>
      </w:r>
    </w:p>
    <w:p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23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年度部门整体支出绩效自评报告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参考模板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>
      <w:pPr>
        <w:adjustRightInd w:val="0"/>
        <w:snapToGrid w:val="0"/>
        <w:spacing w:line="360" w:lineRule="auto"/>
        <w:ind w:firstLine="321" w:firstLineChars="1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（一）部门主要职责</w:t>
      </w:r>
    </w:p>
    <w:p>
      <w:pPr>
        <w:pStyle w:val="2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1.实施初、高中学历教育，促进基础教育的发展。</w:t>
      </w:r>
    </w:p>
    <w:p>
      <w:pPr>
        <w:pStyle w:val="2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2.贯彻落实上级关于教育教学工作等法律、法规文件精神；</w:t>
      </w:r>
    </w:p>
    <w:p>
      <w:pPr>
        <w:pStyle w:val="2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3.负责教育信息的基本统计与分析；</w:t>
      </w:r>
    </w:p>
    <w:p>
      <w:pPr>
        <w:pStyle w:val="2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4.职责范围内归口管理本校教育经费统计及其教职工待遇核发等；</w:t>
      </w:r>
    </w:p>
    <w:p>
      <w:pPr>
        <w:pStyle w:val="2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5.完成县政府部门及上级主管部门交办的其他任务。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及绩效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预决算情况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5471.53</w:t>
      </w:r>
      <w:r>
        <w:rPr>
          <w:rFonts w:hint="eastAsia" w:ascii="仿宋" w:hAnsi="仿宋" w:eastAsia="仿宋" w:cs="仿宋"/>
          <w:sz w:val="32"/>
          <w:szCs w:val="32"/>
        </w:rPr>
        <w:t>万元，其中一般公共财政拨款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5471.53</w:t>
      </w:r>
      <w:r>
        <w:rPr>
          <w:rFonts w:hint="eastAsia" w:ascii="仿宋" w:hAnsi="仿宋" w:eastAsia="仿宋" w:cs="仿宋"/>
          <w:sz w:val="32"/>
          <w:szCs w:val="32"/>
        </w:rPr>
        <w:t>万元；20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5471.53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5471.53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决算情况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含年中预算追加情况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5405.89</w:t>
      </w:r>
      <w:r>
        <w:rPr>
          <w:rFonts w:hint="eastAsia" w:ascii="仿宋" w:hAnsi="仿宋" w:eastAsia="仿宋" w:cs="仿宋"/>
          <w:sz w:val="32"/>
          <w:szCs w:val="32"/>
        </w:rPr>
        <w:t>万元，较预算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65.64</w:t>
      </w:r>
      <w:r>
        <w:rPr>
          <w:rFonts w:hint="eastAsia" w:ascii="仿宋" w:hAnsi="仿宋" w:eastAsia="仿宋" w:cs="仿宋"/>
          <w:sz w:val="32"/>
          <w:szCs w:val="32"/>
        </w:rPr>
        <w:t>万元，总支出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5405.89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5405.89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％。差异产生的主要原因是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部分未拨款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“三公"经费执行情况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sz w:val="32"/>
          <w:szCs w:val="32"/>
        </w:rPr>
        <w:t>“三公"经费预算数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3.3</w:t>
      </w:r>
      <w:r>
        <w:rPr>
          <w:rFonts w:hint="eastAsia" w:ascii="仿宋" w:hAnsi="仿宋" w:eastAsia="仿宋" w:cs="仿宋"/>
          <w:sz w:val="32"/>
          <w:szCs w:val="32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3.3</w:t>
      </w:r>
      <w:r>
        <w:rPr>
          <w:rFonts w:hint="eastAsia" w:ascii="仿宋" w:hAnsi="仿宋" w:eastAsia="仿宋" w:cs="仿宋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3.26</w:t>
      </w:r>
      <w:r>
        <w:rPr>
          <w:rFonts w:hint="eastAsia" w:ascii="仿宋" w:hAnsi="仿宋" w:eastAsia="仿宋" w:cs="仿宋"/>
          <w:sz w:val="32"/>
          <w:szCs w:val="32"/>
        </w:rPr>
        <w:t>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3.26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政府采购执行情况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资产管理情况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3876.93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713.13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3163.79</w:t>
      </w:r>
      <w:r>
        <w:rPr>
          <w:rFonts w:hint="eastAsia" w:ascii="仿宋" w:hAnsi="仿宋" w:eastAsia="仿宋" w:cs="仿宋"/>
          <w:sz w:val="32"/>
          <w:szCs w:val="32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5764.6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5764.66</w:t>
      </w:r>
      <w:r>
        <w:rPr>
          <w:rFonts w:hint="eastAsia" w:ascii="仿宋" w:hAnsi="仿宋" w:eastAsia="仿宋" w:cs="仿宋"/>
          <w:sz w:val="32"/>
          <w:szCs w:val="32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整体绩效目标完成情况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仅对50万元以上的项目资金进行分项说明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960" w:firstLineChars="3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存在的问题及改进措施</w:t>
      </w:r>
    </w:p>
    <w:p>
      <w:pPr>
        <w:pStyle w:val="2"/>
        <w:numPr>
          <w:ilvl w:val="0"/>
          <w:numId w:val="0"/>
        </w:numPr>
        <w:ind w:leftChars="200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其他需要说明的情况</w:t>
      </w:r>
    </w:p>
    <w:p>
      <w:pPr>
        <w:pStyle w:val="2"/>
        <w:numPr>
          <w:ilvl w:val="0"/>
          <w:numId w:val="0"/>
        </w:numPr>
        <w:ind w:leftChars="200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2FC66"/>
    <w:multiLevelType w:val="singleLevel"/>
    <w:tmpl w:val="8132FC6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lOThmNDU4NjFmZjg1M2UwNGU5YjBhZWQzMTA0MTMifQ=="/>
  </w:docVars>
  <w:rsids>
    <w:rsidRoot w:val="68D33B5A"/>
    <w:rsid w:val="68D3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2024-04-02T11:32:00Z</dcterms:created>
  <dc:creator>LYQ</dc:creator>
  <cp:lastModifiedBy>LYQ</cp:lastModifiedBy>
  <dcterms:modified xsi:type="dcterms:W3CDTF">2024-04-02T11:35:02Z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278B7FAA12A1413DAF63D41C234E8D6B_11</vt:lpwstr>
  </property>
</Properties>
</file>