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overflowPunct/>
        <w:topLinePunct w:val="0"/>
        <w:bidi w:val="0"/>
        <w:snapToGrid/>
        <w:spacing w:before="0" w:beforeAutospacing="0" w:after="0" w:afterAutospacing="0" w:line="560" w:lineRule="exact"/>
        <w:jc w:val="center"/>
        <w:textAlignment w:val="baseline"/>
        <w:rPr>
          <w:rFonts w:ascii="黑体" w:hAnsi="黑体" w:eastAsia="黑体" w:cs="黑体"/>
          <w:b w:val="0"/>
          <w:i w:val="0"/>
          <w:caps w:val="0"/>
          <w:spacing w:val="0"/>
          <w:w w:val="100"/>
          <w:sz w:val="44"/>
          <w:szCs w:val="44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napToGrid/>
        <w:spacing w:before="0" w:beforeAutospacing="0" w:after="0" w:afterAutospacing="0" w:line="560" w:lineRule="exact"/>
        <w:jc w:val="center"/>
        <w:textAlignment w:val="baseline"/>
        <w:rPr>
          <w:rFonts w:ascii="黑体" w:hAnsi="黑体" w:eastAsia="黑体" w:cs="黑体"/>
          <w:b w:val="0"/>
          <w:i w:val="0"/>
          <w:caps w:val="0"/>
          <w:spacing w:val="0"/>
          <w:w w:val="100"/>
          <w:sz w:val="44"/>
          <w:szCs w:val="44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napToGrid/>
        <w:spacing w:before="0" w:beforeAutospacing="0" w:after="0" w:afterAutospacing="0" w:line="560" w:lineRule="exact"/>
        <w:jc w:val="center"/>
        <w:textAlignment w:val="baseline"/>
        <w:rPr>
          <w:rFonts w:ascii="黑体" w:hAnsi="黑体" w:eastAsia="黑体" w:cs="黑体"/>
          <w:b w:val="0"/>
          <w:i w:val="0"/>
          <w:caps w:val="0"/>
          <w:spacing w:val="0"/>
          <w:w w:val="100"/>
          <w:sz w:val="44"/>
          <w:szCs w:val="44"/>
        </w:rPr>
      </w:pP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44"/>
          <w:szCs w:val="44"/>
        </w:rPr>
      </w:pPr>
      <w:r>
        <w:rPr>
          <w:rFonts w:ascii="黑体" w:hAnsi="黑体" w:eastAsia="黑体" w:cs="黑体"/>
          <w:b w:val="0"/>
          <w:i w:val="0"/>
          <w:caps w:val="0"/>
          <w:spacing w:val="0"/>
          <w:w w:val="100"/>
          <w:sz w:val="44"/>
          <w:szCs w:val="44"/>
        </w:rPr>
        <w:t>202</w:t>
      </w: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44"/>
          <w:szCs w:val="44"/>
        </w:rPr>
        <w:t>年县级财政衔接推进乡村振兴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60" w:lineRule="exact"/>
        <w:jc w:val="center"/>
        <w:textAlignment w:val="baseline"/>
        <w:rPr>
          <w:rFonts w:ascii="黑体" w:hAnsi="黑体" w:eastAsia="黑体" w:cs="黑体"/>
          <w:b w:val="0"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44"/>
          <w:szCs w:val="44"/>
        </w:rPr>
        <w:t>补助资金项目申报指南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60" w:lineRule="exact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根据《衡东县财政衔接推进乡村振兴项目管理办法》（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东委乡振组发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〔20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〕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号）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文件精神，安排“数商兴农”网络零售额培育项目资金100万元，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现将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县级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衔接资金申报工作通知如下：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/>
        <w:jc w:val="both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</w:rPr>
        <w:t>重点支持方向和内容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pacing w:val="5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5"/>
          <w:sz w:val="32"/>
          <w:szCs w:val="32"/>
          <w:lang w:val="en-US" w:eastAsia="zh-CN"/>
        </w:rPr>
        <w:t xml:space="preserve">    资金使用方向主要针对“数商兴农”网络零售额培育，支持农产品上行及农村电商综合服务建设等，通过助推数商兴农与乡村振兴工作的有效衔接，带动农民致富增收。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Style w:val="9"/>
          <w:rFonts w:hint="eastAsia" w:ascii="楷体" w:hAnsi="楷体" w:eastAsia="楷体" w:cs="楷体"/>
          <w:b w:val="0"/>
          <w:bCs/>
          <w:sz w:val="32"/>
          <w:szCs w:val="32"/>
          <w:lang w:eastAsia="zh-CN"/>
        </w:rPr>
      </w:pPr>
      <w:r>
        <w:rPr>
          <w:rStyle w:val="9"/>
          <w:rFonts w:hint="eastAsia" w:ascii="楷体" w:hAnsi="楷体" w:eastAsia="楷体" w:cs="楷体"/>
          <w:b w:val="0"/>
          <w:bCs/>
          <w:sz w:val="32"/>
          <w:szCs w:val="32"/>
          <w:lang w:eastAsia="zh-CN"/>
        </w:rPr>
        <w:t>大力培育涉农电商主体。（</w:t>
      </w:r>
      <w:r>
        <w:rPr>
          <w:rStyle w:val="9"/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30万元</w:t>
      </w:r>
      <w:r>
        <w:rPr>
          <w:rStyle w:val="9"/>
          <w:rFonts w:hint="eastAsia" w:ascii="楷体" w:hAnsi="楷体" w:eastAsia="楷体" w:cs="楷体"/>
          <w:b w:val="0"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2" w:firstLineChars="200"/>
        <w:textAlignment w:val="auto"/>
        <w:rPr>
          <w:rFonts w:hint="eastAsia" w:ascii="仿宋" w:hAnsi="仿宋" w:eastAsia="仿宋" w:cs="仿宋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8"/>
          <w:sz w:val="32"/>
          <w:szCs w:val="32"/>
          <w:lang w:eastAsia="zh-CN"/>
        </w:rPr>
        <w:t>对</w:t>
      </w:r>
      <w:r>
        <w:rPr>
          <w:rFonts w:hint="eastAsia" w:ascii="仿宋" w:hAnsi="仿宋" w:eastAsia="仿宋" w:cs="仿宋"/>
          <w:spacing w:val="5"/>
          <w:sz w:val="32"/>
          <w:szCs w:val="32"/>
        </w:rPr>
        <w:t>在知名电商平台上开设网店，创新</w:t>
      </w:r>
      <w:r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  <w:t>线上</w:t>
      </w:r>
      <w:r>
        <w:rPr>
          <w:rFonts w:hint="eastAsia" w:ascii="仿宋" w:hAnsi="仿宋" w:eastAsia="仿宋" w:cs="仿宋"/>
          <w:spacing w:val="5"/>
          <w:sz w:val="32"/>
          <w:szCs w:val="32"/>
        </w:rPr>
        <w:t>经营销售模式</w:t>
      </w:r>
      <w:r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  <w:t>的电商企业，农产品年线上交易额达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200万元以上或50万以上新增企业，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择优给予支持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畅通线上线下网销农产品销售渠道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本年度电商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</w:rPr>
        <w:t>企业在大型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  <w:lang w:eastAsia="zh-CN"/>
        </w:rPr>
        <w:t>商超、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</w:rPr>
        <w:t>高速公路服务区等设立扶贫产品销售专区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shd w:val="clear" w:fill="FFFEFE"/>
          <w:lang w:eastAsia="zh-CN"/>
        </w:rPr>
        <w:t>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EFE"/>
        </w:rPr>
        <w:t>直销扶贫目录农产品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EFE"/>
          <w:lang w:eastAsia="zh-CN"/>
        </w:rPr>
        <w:t>达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EFE"/>
          <w:lang w:val="en-US" w:eastAsia="zh-CN"/>
        </w:rPr>
        <w:t>50万元以上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给予择优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支持；销售本地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EFE"/>
          <w:lang w:eastAsia="zh-CN"/>
        </w:rPr>
        <w:t>农产品年销售额达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EFE"/>
          <w:lang w:val="en-US" w:eastAsia="zh-CN"/>
        </w:rPr>
        <w:t>2000万以上龙头企业给予支持。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spacing w:val="6"/>
          <w:sz w:val="32"/>
          <w:szCs w:val="32"/>
        </w:rPr>
      </w:pPr>
      <w:r>
        <w:rPr>
          <w:rStyle w:val="9"/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加强网销“一乡一品”宣传推广（35万元）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4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6"/>
          <w:sz w:val="32"/>
          <w:szCs w:val="32"/>
          <w:lang w:eastAsia="zh-CN"/>
        </w:rPr>
        <w:t>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持县直机关、乡镇各电商企业、扶贫经济企业积极开展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“一乡一品”宣传推广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。鼓励开展“三品一标”申报，提高本地农产品的经济经营效益；对参加国家、省、市、县内外展示展销活动，给予参展费用适当支持；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pacing w:val="6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支持各电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商企业与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优质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电商平台合作，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开设乡村振兴馆、专营店等企业店铺，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对列入扶贫目录的农特产品开展网销“一县一品”宣传推广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，销售农产品数据达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100万元以上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的择优给予支持。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pacing w:val="6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支持各电商企业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利用自媒体、新媒体开展网络直播销售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成效显著的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择优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给予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支持。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40" w:leftChars="0"/>
        <w:textAlignment w:val="auto"/>
        <w:rPr>
          <w:rStyle w:val="9"/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</w:pPr>
      <w:r>
        <w:rPr>
          <w:rStyle w:val="9"/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（三）支持县乡村三级物流体系建设。（20万元）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1、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</w:rPr>
        <w:t>支持物流快递公司在各乡镇、村建设快递网店，打通“最后一公里”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，对提供优质快递物流服务企业给予适当支持。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Style w:val="9"/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2、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</w:rPr>
        <w:t>支持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各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</w:rPr>
        <w:t>电商企业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、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</w:rPr>
        <w:t>村级电商服务站销售扶贫农产品，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对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</w:rPr>
        <w:t>销售扶贫农产品且达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50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</w:rPr>
        <w:t>万元以上的电商企业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、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</w:rPr>
        <w:t>村级电商服务站销售贫困村、贫困户生产的农产品销售额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10万元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</w:rPr>
        <w:t>以上，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择优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给予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资金支持。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200" w:firstLine="320" w:firstLineChars="100"/>
        <w:textAlignment w:val="auto"/>
        <w:rPr>
          <w:rStyle w:val="9"/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</w:pPr>
      <w:r>
        <w:rPr>
          <w:rStyle w:val="9"/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（四）推进农村电商公共服务体系建设。（15万元）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Style w:val="9"/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1、支持开展农村电商服务。对开展农村电商人才培训、培育本地优质电商达人、提供电商服务的企业予以支持。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b/>
          <w:color w:val="000000"/>
          <w:sz w:val="32"/>
          <w:szCs w:val="32"/>
          <w:u w:val="single"/>
        </w:rPr>
      </w:pP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2、对电商协会开展相关助农活动予以支持。</w:t>
      </w:r>
    </w:p>
    <w:p>
      <w:pPr>
        <w:keepNext w:val="0"/>
        <w:keepLines w:val="0"/>
        <w:pageBreakBefore w:val="0"/>
        <w:widowControl/>
        <w:shd w:val="clear" w:color="auto" w:fill="FFFFFF"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left"/>
        <w:textAlignment w:val="baseline"/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kern w:val="0"/>
          <w:sz w:val="32"/>
          <w:szCs w:val="32"/>
        </w:rPr>
        <w:t>二、项目申报材料要求</w:t>
      </w:r>
    </w:p>
    <w:p>
      <w:pPr>
        <w:keepNext w:val="0"/>
        <w:keepLines w:val="0"/>
        <w:pageBreakBefore w:val="0"/>
        <w:widowControl/>
        <w:shd w:val="clear" w:color="auto" w:fill="FFFFFF"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27" w:firstLineChars="196"/>
        <w:jc w:val="both"/>
        <w:textAlignment w:val="baseline"/>
        <w:rPr>
          <w:rFonts w:hint="eastAsia" w:ascii="楷体" w:hAnsi="楷体" w:eastAsia="楷体" w:cs="楷体"/>
          <w:b w:val="0"/>
          <w:bCs w:val="0"/>
          <w:i w:val="0"/>
          <w:caps w:val="0"/>
          <w:color w:val="333333"/>
          <w:spacing w:val="0"/>
          <w:w w:val="10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i w:val="0"/>
          <w:caps w:val="0"/>
          <w:color w:val="333333"/>
          <w:spacing w:val="0"/>
          <w:w w:val="100"/>
          <w:sz w:val="32"/>
          <w:szCs w:val="32"/>
        </w:rPr>
        <w:t>（一）全部项目申报均需提供：</w:t>
      </w:r>
    </w:p>
    <w:p>
      <w:pPr>
        <w:keepNext w:val="0"/>
        <w:keepLines w:val="0"/>
        <w:pageBreakBefore w:val="0"/>
        <w:widowControl/>
        <w:shd w:val="clear" w:color="auto" w:fill="FFFFFF"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</w:rPr>
        <w:t>1、项目申请报告及项目申报表；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关于申报项目、申报材料真实性及合法性的承诺书（加盖企业或单位公章及法人代表签字）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、项目开展情况，包括企业的基本情况（企业营业执照、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行业证照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、法人身份证复印件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、国家信用信息报告等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及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项目开展的主要内容等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资金投入情况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及凭据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、交易额证明、扶贫成果证明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）；</w:t>
      </w:r>
    </w:p>
    <w:p>
      <w:pPr>
        <w:pStyle w:val="5"/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项目各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申报主体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提供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</w:rPr>
        <w:t>开展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  <w:lang w:eastAsia="zh-CN"/>
        </w:rPr>
        <w:t>活动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</w:rPr>
        <w:t>有关资料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  <w:lang w:eastAsia="zh-CN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</w:rPr>
        <w:t>销售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  <w:lang w:eastAsia="zh-CN"/>
        </w:rPr>
        <w:t>数据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</w:rPr>
        <w:t>截图、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  <w:lang w:eastAsia="zh-CN"/>
        </w:rPr>
        <w:t>展会合作合同、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</w:rPr>
        <w:t>带贫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  <w:lang w:eastAsia="zh-CN"/>
        </w:rPr>
        <w:t>机制证明材料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</w:rPr>
        <w:t>、开展直播活动成效佐证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  <w:lang w:eastAsia="zh-CN"/>
        </w:rPr>
        <w:t>、展会图文、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</w:rPr>
        <w:t>直播视频）等相关凭证等；</w:t>
      </w:r>
    </w:p>
    <w:p>
      <w:pPr>
        <w:keepNext w:val="0"/>
        <w:keepLines w:val="0"/>
        <w:pageBreakBefore w:val="0"/>
        <w:widowControl/>
        <w:shd w:val="clear" w:color="auto" w:fill="FFFFFF"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left"/>
        <w:textAlignment w:val="baseline"/>
        <w:rPr>
          <w:rFonts w:hint="eastAsia" w:ascii="楷体" w:hAnsi="楷体" w:eastAsia="楷体" w:cs="楷体"/>
          <w:b w:val="0"/>
          <w:bCs w:val="0"/>
          <w:i w:val="0"/>
          <w:caps w:val="0"/>
          <w:spacing w:val="0"/>
          <w:w w:val="100"/>
          <w:kern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i w:val="0"/>
          <w:caps w:val="0"/>
          <w:spacing w:val="0"/>
          <w:w w:val="100"/>
          <w:kern w:val="0"/>
          <w:sz w:val="32"/>
          <w:szCs w:val="32"/>
        </w:rPr>
        <w:t>（二）其他需要提供资料：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1、申报第（一）类项目的市场主体，需要提供产品类别、线上经营平台信息及本年度销售数据；</w:t>
      </w:r>
      <w:r>
        <w:rPr>
          <w:rFonts w:hint="eastAsia" w:ascii="仿宋" w:hAnsi="仿宋" w:eastAsia="仿宋" w:cs="仿宋"/>
          <w:b w:val="0"/>
          <w:i w:val="0"/>
          <w:caps w:val="0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提供与商超等地入驻协议、销售量证明、提供线上、线下销售佐证。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2、申报第（二）类项目的市场主体，需要提供已获取“三品一标”证书及申报费用凭据；</w:t>
      </w:r>
      <w:r>
        <w:rPr>
          <w:rFonts w:hint="eastAsia" w:ascii="仿宋" w:hAnsi="仿宋" w:eastAsia="仿宋" w:cs="仿宋"/>
          <w:b w:val="0"/>
          <w:i w:val="0"/>
          <w:caps w:val="0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各电商企业、扶贫经济组织需提供展销活动通知、参展申报表、参展证明、合同及展位费支付凭据等相关文字图文资料；</w:t>
      </w:r>
      <w:r>
        <w:rPr>
          <w:rFonts w:hint="eastAsia" w:ascii="仿宋" w:hAnsi="仿宋" w:eastAsia="仿宋" w:cs="仿宋"/>
          <w:b w:val="0"/>
          <w:i w:val="0"/>
          <w:cap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需要</w:t>
      </w:r>
      <w:r>
        <w:rPr>
          <w:rFonts w:hint="eastAsia" w:ascii="仿宋" w:hAnsi="仿宋" w:eastAsia="仿宋" w:cs="仿宋"/>
          <w:b w:val="0"/>
          <w:i w:val="0"/>
          <w:caps w:val="0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各电商企业提供与大电商平台合作，对列入扶贫目录农特产品开展网销“一县一品”宣传推广，提供截图数据佐证材料。开展网络直播活动照片、销售数据等佐证。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3、申报第（三）类项目的市场主体，需提供办公场地、物流快递单量等凭证；乡镇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</w:rPr>
        <w:t>电商企业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、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</w:rPr>
        <w:t>村级电商服务站</w:t>
      </w:r>
      <w:r>
        <w:rPr>
          <w:rStyle w:val="9"/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需提供线上销售单据、农产品收购单及图文资料等。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both"/>
        <w:textAlignment w:val="baseline"/>
        <w:rPr>
          <w:rFonts w:hint="default" w:ascii="仿宋" w:hAnsi="仿宋" w:eastAsia="仿宋" w:cs="仿宋"/>
          <w:b w:val="0"/>
          <w:i w:val="0"/>
          <w:cap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4、申报第（四）类项目的市场主体，需提供培训</w:t>
      </w:r>
      <w:r>
        <w:rPr>
          <w:rFonts w:hint="eastAsia" w:ascii="仿宋" w:hAnsi="仿宋" w:eastAsia="仿宋" w:cs="仿宋"/>
          <w:sz w:val="32"/>
          <w:szCs w:val="32"/>
        </w:rPr>
        <w:t>学员花名册、培训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课程安排</w:t>
      </w:r>
      <w:r>
        <w:rPr>
          <w:rFonts w:hint="eastAsia" w:ascii="仿宋" w:hAnsi="仿宋" w:eastAsia="仿宋" w:cs="仿宋"/>
          <w:sz w:val="32"/>
          <w:szCs w:val="32"/>
        </w:rPr>
        <w:t>、培训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现场</w:t>
      </w:r>
      <w:r>
        <w:rPr>
          <w:rFonts w:hint="eastAsia" w:ascii="仿宋" w:hAnsi="仿宋" w:eastAsia="仿宋" w:cs="仿宋"/>
          <w:sz w:val="32"/>
          <w:szCs w:val="32"/>
        </w:rPr>
        <w:t>照片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及优秀学员名单（优质电商达人代表）等资料</w:t>
      </w:r>
      <w:r>
        <w:rPr>
          <w:rFonts w:hint="eastAsia" w:ascii="仿宋" w:hAnsi="仿宋" w:eastAsia="仿宋" w:cs="仿宋"/>
          <w:b w:val="0"/>
          <w:i w:val="0"/>
          <w:cap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；协会组织申报需提供活动开展相关资料。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wordWrap/>
        <w:overflowPunct/>
        <w:topLinePunct w:val="0"/>
        <w:bidi w:val="0"/>
        <w:snapToGrid/>
        <w:spacing w:before="0" w:beforeAutospacing="0" w:after="0" w:afterAutospacing="0" w:line="52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</w:rPr>
        <w:t>三、项目申报、评审、验证和资金拨付程序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</w:rPr>
        <w:t>（一）资金申报截止时间：202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</w:rPr>
        <w:t>年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  <w:lang w:val="en-US" w:eastAsia="zh-CN"/>
        </w:rPr>
        <w:t>11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</w:rPr>
        <w:t>月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  <w:lang w:val="en-US" w:eastAsia="zh-CN"/>
        </w:rPr>
        <w:t>21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</w:rPr>
        <w:t>日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kern w:val="2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2"/>
          <w:szCs w:val="32"/>
          <w:shd w:val="clear" w:color="auto" w:fill="FFFEFE"/>
        </w:rPr>
        <w:t>（二）申报程序：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kern w:val="2"/>
          <w:sz w:val="32"/>
          <w:szCs w:val="32"/>
        </w:rPr>
        <w:t>各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电商企业、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kern w:val="2"/>
          <w:sz w:val="32"/>
          <w:szCs w:val="32"/>
        </w:rPr>
        <w:t>扶贫经济组织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申报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kern w:val="2"/>
          <w:sz w:val="32"/>
          <w:szCs w:val="32"/>
        </w:rPr>
        <w:t>项目资料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kern w:val="2"/>
          <w:sz w:val="32"/>
          <w:szCs w:val="32"/>
          <w:lang w:eastAsia="zh-CN"/>
        </w:rPr>
        <w:t>在规定时间内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kern w:val="2"/>
          <w:sz w:val="32"/>
          <w:szCs w:val="32"/>
        </w:rPr>
        <w:t>报送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kern w:val="2"/>
          <w:sz w:val="32"/>
          <w:szCs w:val="32"/>
          <w:lang w:eastAsia="zh-CN"/>
        </w:rPr>
        <w:t>县商务局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kern w:val="2"/>
          <w:sz w:val="32"/>
          <w:szCs w:val="32"/>
        </w:rPr>
        <w:t>电子商务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kern w:val="2"/>
          <w:sz w:val="32"/>
          <w:szCs w:val="32"/>
          <w:lang w:eastAsia="zh-CN"/>
        </w:rPr>
        <w:t>服务中心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kern w:val="2"/>
          <w:sz w:val="32"/>
          <w:szCs w:val="32"/>
        </w:rPr>
        <w:t>审核，联系</w:t>
      </w:r>
      <w:r>
        <w:rPr>
          <w:rFonts w:hint="eastAsia" w:ascii="仿宋" w:hAnsi="仿宋" w:eastAsia="仿宋" w:cs="仿宋"/>
          <w:kern w:val="2"/>
          <w:sz w:val="32"/>
          <w:szCs w:val="32"/>
        </w:rPr>
        <w:t>电话：5224038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kern w:val="2"/>
          <w:sz w:val="32"/>
          <w:szCs w:val="32"/>
          <w:lang w:val="en-US"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w w:val="100"/>
          <w:sz w:val="32"/>
          <w:szCs w:val="32"/>
        </w:rPr>
        <w:t>（三）县商务局相关业务股室对项目申报资料进行收集、初审，对通过初审的企业进行备案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（四）项目通过初审核，按照突出重点、择优补助的原则，提出拟支持项目清单，经县商务局党组会议研究同意，在县党政门户网上公示七天无异议后，统一由县财政局国库集中打卡发放；</w:t>
      </w:r>
    </w:p>
    <w:p>
      <w:pPr>
        <w:pStyle w:val="5"/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（五）对成功申报的企业，县商务局对项目申报资料存档，实行动态管理；</w:t>
      </w:r>
    </w:p>
    <w:p>
      <w:pPr>
        <w:pStyle w:val="5"/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（六）所有项目不重复申报，即每家企业仅限申报一种类型；在同等条件下，优先支持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纳入规上企业数据库的市场主体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（七）严禁虚报、骗取、挪用、私分专项项目资金，对违反规定的，按照《财政违法行为处罚处分条例》（国务院令第427号）的规定处理，并取消相关企业三年内申报专项资金的资格。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jc w:val="center"/>
        <w:textAlignment w:val="baseline"/>
        <w:rPr>
          <w:rFonts w:hint="eastAsia" w:ascii="仿宋" w:hAnsi="仿宋" w:eastAsia="仿宋" w:cs="仿宋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附件：1、2022</w:t>
      </w:r>
      <w:r>
        <w:rPr>
          <w:rFonts w:hint="eastAsia" w:ascii="仿宋" w:hAnsi="仿宋" w:eastAsia="仿宋" w:cs="仿宋"/>
          <w:b w:val="0"/>
          <w:bCs/>
          <w:i w:val="0"/>
          <w:caps w:val="0"/>
          <w:spacing w:val="0"/>
          <w:w w:val="100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“数商兴农”县级衔接资金项目申报审批</w:t>
      </w:r>
    </w:p>
    <w:p>
      <w:pPr>
        <w:pStyle w:val="5"/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ind w:firstLine="1600" w:firstLineChars="500"/>
        <w:jc w:val="left"/>
        <w:textAlignment w:val="baseline"/>
        <w:rPr>
          <w:rFonts w:hint="eastAsia" w:ascii="仿宋" w:hAnsi="仿宋" w:eastAsia="仿宋" w:cs="仿宋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2、申报材料真实性声明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napToGrid/>
        <w:spacing w:before="0" w:beforeAutospacing="0" w:after="0" w:afterAutospacing="0" w:line="520" w:lineRule="exact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衡东县商务局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20" w:lineRule="exact"/>
        <w:ind w:firstLine="4800" w:firstLineChars="1500"/>
        <w:jc w:val="both"/>
        <w:rPr>
          <w:rFonts w:hint="eastAsia" w:ascii="仿宋" w:hAnsi="仿宋" w:eastAsia="仿宋" w:cs="仿宋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附件1：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cs="Aharoni"/>
          <w:b/>
          <w:i w:val="0"/>
          <w:caps w:val="0"/>
          <w:spacing w:val="0"/>
          <w:w w:val="100"/>
          <w:sz w:val="36"/>
          <w:szCs w:val="36"/>
        </w:rPr>
      </w:pPr>
      <w:r>
        <w:rPr>
          <w:rFonts w:hint="eastAsia" w:cs="Aharoni"/>
          <w:b/>
          <w:i w:val="0"/>
          <w:caps w:val="0"/>
          <w:spacing w:val="0"/>
          <w:w w:val="100"/>
          <w:sz w:val="36"/>
          <w:szCs w:val="36"/>
          <w:lang w:val="en-US" w:eastAsia="zh-CN"/>
        </w:rPr>
        <w:t>2023</w:t>
      </w:r>
      <w:r>
        <w:rPr>
          <w:rFonts w:hint="eastAsia" w:cs="Aharoni"/>
          <w:b/>
          <w:i w:val="0"/>
          <w:caps w:val="0"/>
          <w:spacing w:val="0"/>
          <w:w w:val="100"/>
          <w:sz w:val="36"/>
          <w:szCs w:val="36"/>
          <w:lang w:eastAsia="zh-CN"/>
        </w:rPr>
        <w:t>年“数商兴农”</w:t>
      </w:r>
      <w:r>
        <w:rPr>
          <w:rFonts w:hint="eastAsia" w:ascii="黑体" w:hAnsi="黑体" w:eastAsia="黑体" w:cs="Aharoni"/>
          <w:b w:val="0"/>
          <w:i w:val="0"/>
          <w:caps w:val="0"/>
          <w:spacing w:val="0"/>
          <w:w w:val="100"/>
          <w:sz w:val="36"/>
          <w:szCs w:val="36"/>
          <w:lang w:eastAsia="zh-CN"/>
        </w:rPr>
        <w:t>县级</w:t>
      </w:r>
      <w:r>
        <w:rPr>
          <w:rFonts w:hint="eastAsia" w:cs="Aharoni"/>
          <w:b/>
          <w:i w:val="0"/>
          <w:caps w:val="0"/>
          <w:spacing w:val="0"/>
          <w:w w:val="100"/>
          <w:sz w:val="36"/>
          <w:szCs w:val="36"/>
          <w:lang w:eastAsia="zh-CN"/>
        </w:rPr>
        <w:t>衔接资金项目申报审批</w:t>
      </w:r>
      <w:r>
        <w:rPr>
          <w:rFonts w:hint="eastAsia" w:cs="Aharoni"/>
          <w:b/>
          <w:i w:val="0"/>
          <w:caps w:val="0"/>
          <w:spacing w:val="0"/>
          <w:w w:val="100"/>
          <w:sz w:val="36"/>
          <w:szCs w:val="36"/>
        </w:rPr>
        <w:t>表</w:t>
      </w:r>
    </w:p>
    <w:tbl>
      <w:tblPr>
        <w:tblStyle w:val="7"/>
        <w:tblpPr w:leftFromText="180" w:rightFromText="180" w:vertAnchor="text" w:horzAnchor="page" w:tblpX="1810" w:tblpY="123"/>
        <w:tblOverlap w:val="never"/>
        <w:tblW w:w="87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740"/>
        <w:gridCol w:w="1635"/>
        <w:gridCol w:w="652"/>
        <w:gridCol w:w="1710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1545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</w:rPr>
              <w:t>公司全称</w:t>
            </w: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（盖章）</w:t>
            </w:r>
          </w:p>
        </w:tc>
        <w:tc>
          <w:tcPr>
            <w:tcW w:w="3375" w:type="dxa"/>
            <w:gridSpan w:val="2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2362" w:type="dxa"/>
            <w:gridSpan w:val="2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注册时间</w:t>
            </w:r>
          </w:p>
        </w:tc>
        <w:tc>
          <w:tcPr>
            <w:tcW w:w="1463" w:type="dxa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545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 w:eastAsia="宋体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统一社会信用代码</w:t>
            </w:r>
            <w:bookmarkStart w:id="0" w:name="_GoBack"/>
            <w:bookmarkEnd w:id="0"/>
          </w:p>
        </w:tc>
        <w:tc>
          <w:tcPr>
            <w:tcW w:w="3375" w:type="dxa"/>
            <w:gridSpan w:val="2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2362" w:type="dxa"/>
            <w:gridSpan w:val="2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注册资金</w:t>
            </w:r>
          </w:p>
        </w:tc>
        <w:tc>
          <w:tcPr>
            <w:tcW w:w="1463" w:type="dxa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54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</w:rPr>
              <w:t>公司地址</w:t>
            </w:r>
          </w:p>
        </w:tc>
        <w:tc>
          <w:tcPr>
            <w:tcW w:w="7200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54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/>
                <w:i w:val="0"/>
                <w:caps w:val="0"/>
                <w:spacing w:val="0"/>
                <w:w w:val="100"/>
                <w:sz w:val="44"/>
                <w:szCs w:val="44"/>
                <w:lang w:eastAsia="zh-CN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联系人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2287" w:type="dxa"/>
            <w:gridSpan w:val="2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</w:rPr>
              <w:t>电</w:t>
            </w: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</w:rPr>
              <w:t>话</w:t>
            </w:r>
          </w:p>
        </w:tc>
        <w:tc>
          <w:tcPr>
            <w:tcW w:w="3173" w:type="dxa"/>
            <w:gridSpan w:val="2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54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</w:rPr>
              <w:t>所属行业</w:t>
            </w:r>
          </w:p>
        </w:tc>
        <w:tc>
          <w:tcPr>
            <w:tcW w:w="7200" w:type="dxa"/>
            <w:gridSpan w:val="5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/>
                <w:b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电商企业</w:t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扶贫经济组织</w:t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4" w:hRule="atLeast"/>
        </w:trPr>
        <w:tc>
          <w:tcPr>
            <w:tcW w:w="154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申报项目名称</w:t>
            </w:r>
          </w:p>
        </w:tc>
        <w:tc>
          <w:tcPr>
            <w:tcW w:w="7200" w:type="dxa"/>
            <w:gridSpan w:val="5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Style w:val="9"/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sym w:font="Wingdings 2" w:char="00A3"/>
            </w:r>
            <w:r>
              <w:rPr>
                <w:rStyle w:val="9"/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线上线下畅通网销农产品销售渠道。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sym w:font="Wingdings 2" w:char="00A3"/>
            </w:r>
            <w:r>
              <w:rPr>
                <w:rStyle w:val="9"/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加强网销“一县一品”宣传推广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sym w:font="Wingdings 2" w:char="00A3"/>
            </w:r>
            <w:r>
              <w:rPr>
                <w:rStyle w:val="9"/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支持销售扶贫农产品快递物流补贴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其他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/>
                <w:b w:val="0"/>
                <w:bCs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3" w:hRule="atLeast"/>
        </w:trPr>
        <w:tc>
          <w:tcPr>
            <w:tcW w:w="154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申报项目情况</w:t>
            </w:r>
          </w:p>
        </w:tc>
        <w:tc>
          <w:tcPr>
            <w:tcW w:w="7200" w:type="dxa"/>
            <w:gridSpan w:val="5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</w:trPr>
        <w:tc>
          <w:tcPr>
            <w:tcW w:w="154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申请金额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240" w:firstLineChars="1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6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</w:rPr>
              <w:t>申请人签字</w:t>
            </w:r>
          </w:p>
        </w:tc>
        <w:tc>
          <w:tcPr>
            <w:tcW w:w="3825" w:type="dxa"/>
            <w:gridSpan w:val="3"/>
            <w:tcBorders>
              <w:right w:val="single" w:color="auto" w:sz="12" w:space="0"/>
            </w:tcBorders>
            <w:noWrap w:val="0"/>
            <w:vAlign w:val="bottom"/>
          </w:tcPr>
          <w:p>
            <w:pPr>
              <w:snapToGrid/>
              <w:spacing w:before="0" w:beforeAutospacing="0" w:after="0" w:afterAutospacing="0" w:line="240" w:lineRule="auto"/>
              <w:jc w:val="right"/>
              <w:textAlignment w:val="baseline"/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年</w:t>
            </w: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</w:rPr>
              <w:t xml:space="preserve">  月</w:t>
            </w: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</w:rPr>
              <w:t>日</w:t>
            </w:r>
          </w:p>
          <w:p>
            <w:pPr>
              <w:snapToGrid/>
              <w:spacing w:before="0" w:beforeAutospacing="0" w:after="0" w:afterAutospacing="0" w:line="240" w:lineRule="auto"/>
              <w:ind w:firstLine="240" w:firstLineChars="100"/>
              <w:jc w:val="righ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9" w:hRule="atLeast"/>
        </w:trPr>
        <w:tc>
          <w:tcPr>
            <w:tcW w:w="154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交易数据</w:t>
            </w:r>
          </w:p>
        </w:tc>
        <w:tc>
          <w:tcPr>
            <w:tcW w:w="7200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240" w:firstLineChars="100"/>
              <w:jc w:val="righ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atLeast"/>
        </w:trPr>
        <w:tc>
          <w:tcPr>
            <w:tcW w:w="154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初审意见</w:t>
            </w:r>
          </w:p>
        </w:tc>
        <w:tc>
          <w:tcPr>
            <w:tcW w:w="7200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240" w:firstLineChars="100"/>
              <w:jc w:val="righ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</w:trPr>
        <w:tc>
          <w:tcPr>
            <w:tcW w:w="1545" w:type="dxa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分管领导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意见</w:t>
            </w:r>
          </w:p>
        </w:tc>
        <w:tc>
          <w:tcPr>
            <w:tcW w:w="7200" w:type="dxa"/>
            <w:gridSpan w:val="5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43" w:firstLineChars="1517"/>
              <w:jc w:val="both"/>
              <w:textAlignment w:val="baseline"/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545" w:type="dxa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主要领导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意见</w:t>
            </w:r>
          </w:p>
        </w:tc>
        <w:tc>
          <w:tcPr>
            <w:tcW w:w="7200" w:type="dxa"/>
            <w:gridSpan w:val="5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43" w:firstLineChars="1517"/>
              <w:jc w:val="both"/>
              <w:textAlignment w:val="baseline"/>
              <w:rPr>
                <w:rFonts w:hint="eastAsia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</w:p>
        </w:tc>
      </w:tr>
    </w:tbl>
    <w:p/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1760" w:firstLineChars="400"/>
        <w:jc w:val="lef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申报材料真实性声明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20" w:hanging="320" w:hangingChars="100"/>
        <w:jc w:val="lef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我公司(单位)郑重声明: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本次申报2023年度县级衔接资金的材料全部真实有效。若有弄虚作假自愿承担由此造成的所有法律责任，并自动放弃申报，3年内不再申报。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申报企业(单位):       (加盖公章)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法定代表人:           (签 章)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0" w:firstLineChars="1500"/>
        <w:jc w:val="lef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   月     日</w:t>
      </w:r>
    </w:p>
    <w:p>
      <w:pPr>
        <w:ind w:firstLine="4800" w:firstLineChars="15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4800" w:firstLineChars="15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4800" w:firstLineChars="15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6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haroni">
    <w:altName w:val="Yu Gothic UI Semibold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1A4DB7"/>
    <w:multiLevelType w:val="singleLevel"/>
    <w:tmpl w:val="A91A4DB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B6C3445"/>
    <w:multiLevelType w:val="singleLevel"/>
    <w:tmpl w:val="CB6C344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9CC67C1"/>
    <w:multiLevelType w:val="singleLevel"/>
    <w:tmpl w:val="29CC67C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1FD965C"/>
    <w:multiLevelType w:val="singleLevel"/>
    <w:tmpl w:val="41FD965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jNmQxYjM4ZTM0ZjAwY2E5MzIxZDk1YTRhNGQ1OTQifQ=="/>
    <w:docVar w:name="KSO_WPS_MARK_KEY" w:val="35650d8b-a6ac-4074-87eb-a8c87029903a"/>
  </w:docVars>
  <w:rsids>
    <w:rsidRoot w:val="065E34A8"/>
    <w:rsid w:val="007D47E8"/>
    <w:rsid w:val="03DA1A1D"/>
    <w:rsid w:val="065E34A8"/>
    <w:rsid w:val="0969146A"/>
    <w:rsid w:val="127622E8"/>
    <w:rsid w:val="157138FB"/>
    <w:rsid w:val="18AA18CB"/>
    <w:rsid w:val="18E112FB"/>
    <w:rsid w:val="192166BD"/>
    <w:rsid w:val="1A4E0334"/>
    <w:rsid w:val="1C395664"/>
    <w:rsid w:val="22E75352"/>
    <w:rsid w:val="310F50F5"/>
    <w:rsid w:val="32091DF5"/>
    <w:rsid w:val="32B30233"/>
    <w:rsid w:val="35325511"/>
    <w:rsid w:val="37504842"/>
    <w:rsid w:val="43A23DD3"/>
    <w:rsid w:val="46086B32"/>
    <w:rsid w:val="48576E2F"/>
    <w:rsid w:val="59464970"/>
    <w:rsid w:val="63C57025"/>
    <w:rsid w:val="70DF1926"/>
    <w:rsid w:val="74427137"/>
    <w:rsid w:val="76233D3B"/>
    <w:rsid w:val="7A492399"/>
    <w:rsid w:val="7ABD0F17"/>
    <w:rsid w:val="7D6246EC"/>
    <w:rsid w:val="7DE542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9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2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link w:val="9"/>
    <w:qFormat/>
    <w:uiPriority w:val="99"/>
    <w:pPr>
      <w:keepNext/>
      <w:keepLines/>
      <w:spacing w:line="413" w:lineRule="auto"/>
      <w:outlineLvl w:val="2"/>
    </w:pPr>
    <w:rPr>
      <w:rFonts w:ascii="Calibri" w:hAnsi="Calibri"/>
      <w:b/>
      <w:kern w:val="0"/>
      <w:sz w:val="32"/>
      <w:szCs w:val="20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6">
    <w:name w:val="Body Text First Indent 2"/>
    <w:basedOn w:val="4"/>
    <w:qFormat/>
    <w:uiPriority w:val="0"/>
    <w:pPr>
      <w:ind w:firstLine="420" w:firstLineChars="200"/>
    </w:pPr>
  </w:style>
  <w:style w:type="character" w:customStyle="1" w:styleId="9">
    <w:name w:val="Heading 3 Char"/>
    <w:basedOn w:val="8"/>
    <w:link w:val="3"/>
    <w:qFormat/>
    <w:locked/>
    <w:uiPriority w:val="99"/>
    <w:rPr>
      <w:rFonts w:ascii="Calibri" w:hAnsi="Calibri"/>
      <w:b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2207</Words>
  <Characters>2258</Characters>
  <Lines>0</Lines>
  <Paragraphs>0</Paragraphs>
  <TotalTime>11</TotalTime>
  <ScaleCrop>false</ScaleCrop>
  <LinksUpToDate>false</LinksUpToDate>
  <CharactersWithSpaces>2368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2022-11-29T08:32:00Z</dcterms:created>
  <dc:creator>Administrator</dc:creator>
  <cp:lastModifiedBy>蒋阔</cp:lastModifiedBy>
  <cp:lastPrinted>2023-11-16T09:11:00Z</cp:lastPrinted>
  <dcterms:modified xsi:type="dcterms:W3CDTF">2025-06-11T00:32:28Z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DC97B541DD5546FDB897707A4BB2766A_13</vt:lpwstr>
  </property>
</Properties>
</file>