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600E2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衡东县公安局</w:t>
      </w:r>
    </w:p>
    <w:p w14:paraId="1F1CA089"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202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 w14:paraId="16CF3CA8">
      <w:pPr>
        <w:spacing w:line="360" w:lineRule="auto"/>
        <w:jc w:val="center"/>
        <w:rPr>
          <w:rFonts w:hint="eastAsia"/>
        </w:rPr>
      </w:pPr>
    </w:p>
    <w:p w14:paraId="71C29FD8">
      <w:pPr>
        <w:adjustRightInd w:val="0"/>
        <w:snapToGrid w:val="0"/>
        <w:spacing w:line="360" w:lineRule="auto"/>
        <w:ind w:firstLine="321" w:firstLineChars="1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 w14:paraId="6676158A">
      <w:pPr>
        <w:widowControl/>
        <w:numPr>
          <w:ilvl w:val="0"/>
          <w:numId w:val="0"/>
        </w:numPr>
        <w:spacing w:line="600" w:lineRule="exact"/>
        <w:ind w:left="717" w:leftChars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（一）部门主要职责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5B1010C1">
      <w:pPr>
        <w:pStyle w:val="5"/>
        <w:rPr>
          <w:rFonts w:hint="eastAsia"/>
        </w:rPr>
      </w:pPr>
    </w:p>
    <w:p w14:paraId="43286ED0">
      <w:pPr>
        <w:widowControl/>
        <w:shd w:val="clear" w:color="auto" w:fill="FFFFFF"/>
        <w:tabs>
          <w:tab w:val="left" w:pos="10710"/>
        </w:tabs>
        <w:spacing w:line="432" w:lineRule="auto"/>
        <w:ind w:firstLine="617" w:firstLineChars="193"/>
        <w:jc w:val="left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1、贯彻执行公安工作方针、政策和法律、法规，领导监督和检查全县公安工作；研究公安工作出现的新情况、新问题，推进公安工作改革。</w:t>
      </w:r>
    </w:p>
    <w:p w14:paraId="16468A6D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2、分析研究全县敌情、社情，及时准确地掌握社会稳定、国内安全和社会</w:t>
      </w:r>
    </w:p>
    <w:p w14:paraId="1AACBE36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治安情况，为县委、县政府和上级公安机关提供社会治安情况，提出预防、打击犯罪和整治治安的对策。</w:t>
      </w:r>
    </w:p>
    <w:p w14:paraId="13F40E4D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3、指导和直接侦破危害国内安全的案件及刑事、经济犯罪案件，坚持同“法轮功”等邪教作斗争；组织、指导、监督相关重大行动，协调处置相关特大案件、重大事件、重大治安和灾害事故。</w:t>
      </w:r>
    </w:p>
    <w:p w14:paraId="18099D23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、负责全县治安管理工作并承担相应责任。组织、指导、监督全县依法管理枪支弹药、危险爆炸物品、特种行业和公共场所的治安工作；加强社会治安管理，依法查处危害治安秩序的行为；依法管理户政、协助管理国籍、出入境事务和外国人、华侨、港澳台胞在县居留、旅行的有关事务。加强对派出所的领导，强化公安基础工作，进一步理顺管理关系。严格对被判处管制、拘役、假释的罪犯实行监督考察。</w:t>
      </w:r>
    </w:p>
    <w:p w14:paraId="1366C080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5、负责全县道路交通安全管理并承担相应责任。协助搞好机动车和驾驶员的管理工作；查处交通事故，确保道路畅通。</w:t>
      </w:r>
    </w:p>
    <w:p w14:paraId="055AF5DE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6、指导和监督国家机关、群众团体、企事业单位和重点建设工程的安全保卫工作，组织和指导开展群众性的治安防范工作，指导企事业单位的保卫组织建设和业务工作。</w:t>
      </w:r>
    </w:p>
    <w:p w14:paraId="242E5FDC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7、加强对看守所、拘留所的管理。</w:t>
      </w:r>
    </w:p>
    <w:p w14:paraId="720C12BB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8、负责全县公安机关装备配备计划、申报、分配、管理工作，负责申报公安业务经费和专项拨款的分配计划，并监督其管理使用情况。</w:t>
      </w:r>
    </w:p>
    <w:p w14:paraId="7520DC4A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9、领导和监督全县消防、警卫工作，协同武警部队担负看守任务和维护社会治安工作。</w:t>
      </w:r>
    </w:p>
    <w:p w14:paraId="71C13769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10、依法管理全县公共信息网络的安全监察工作，打击信息网络违法犯罪；组织实施公安科学技术工作；规划公安信息技术、刑事技术等建设。</w:t>
      </w:r>
    </w:p>
    <w:p w14:paraId="1F7819DC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11、负责全县公安队伍的政治思想、组织、文化和纪委作风建设、执法廉政监督等工作；负责奖惩、教育、训练和纪律作风建设、执法廉政监督等工作；负责奖惩、教育、训练和公安宣传培训工作，负责公安民警警衔的呈报和管理工作。</w:t>
      </w:r>
    </w:p>
    <w:p w14:paraId="72AFB274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12、负责对县森林公安分局的业务指导工作。</w:t>
      </w:r>
    </w:p>
    <w:p w14:paraId="10392730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13、负责组织全县公安机关开展禁毒、缉毒工作，承担县禁毒委员会办公室的日常工作。</w:t>
      </w:r>
    </w:p>
    <w:p w14:paraId="32C90C30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</w:rPr>
        <w:t>4、对武警部队执行公安任务及相关业务建设实施领导和指挥。</w:t>
      </w:r>
    </w:p>
    <w:p w14:paraId="3F457069"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15、完成县委、县政府和上级公安机关交办的其它事项。</w:t>
      </w:r>
    </w:p>
    <w:p w14:paraId="068E3BF6">
      <w:pPr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（二）人员编制情况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衡东县公安局内设机构包括：内设股所队室35个，均为副科级单位，分别是：13个内设机构：指挥中心、国内安全保卫大队、政工室、警务保障室、刑侦大队、治安大队、禁毒大队、经侦大队、人口与出入境大队、法制大队、网安大队、巡特警大队、警务督查大队；3个直属机构：看守所、拘留所、强制戒毒所；19个派出所：城关派出所、洣水派出所、吴集派出所、石湾派出所、新塘派出所、三樟派出所、白莲派出所、珍珠派出所、甘溪派出所、杨桥派出所、蓬源派出所、荣桓派出所、杨林派出所、高湖派出所、草市派出所、霞流派出所、大浦派出所、石滩派出所、南湾派出所。本部门共有编制人数460人，实有人数357人，退休人数96人</w:t>
      </w:r>
    </w:p>
    <w:p w14:paraId="20DB6C0E">
      <w:pPr>
        <w:adjustRightInd w:val="0"/>
        <w:snapToGrid w:val="0"/>
        <w:spacing w:line="360" w:lineRule="auto"/>
        <w:ind w:firstLine="321" w:firstLineChars="1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二、预算支出及绩效情况</w:t>
      </w:r>
    </w:p>
    <w:p w14:paraId="75A70A42">
      <w:pPr>
        <w:adjustRightInd w:val="0"/>
        <w:snapToGrid w:val="0"/>
        <w:spacing w:line="360" w:lineRule="auto"/>
        <w:ind w:firstLine="321" w:firstLineChars="1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（一）部门预决算情况</w:t>
      </w:r>
    </w:p>
    <w:p w14:paraId="2717971D">
      <w:pPr>
        <w:adjustRightInd w:val="0"/>
        <w:snapToGrid w:val="0"/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1.部门预算情况</w:t>
      </w:r>
    </w:p>
    <w:p w14:paraId="0583B8AD">
      <w:pPr>
        <w:spacing w:before="0" w:beforeAutospacing="0" w:after="2" w:afterAutospacing="0"/>
        <w:ind w:left="0" w:firstLine="63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（一）收入预算：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包括一般公共预算、政府性基金、国有资本经营预算等财政拨款收入，以及经营收入、事业收入等单位资金。2024年本部门收入预算10,416.99万元，其中，一般公共预算拨款收入10,416.99万元。收入较去年减少1,864.27万元，主要原因是项目支出减少。</w:t>
      </w:r>
      <w:r>
        <w:rPr>
          <w:rFonts w:hint="eastAsia" w:ascii="仿宋" w:hAnsi="仿宋" w:eastAsia="仿宋" w:cs="仿宋"/>
          <w:color w:val="000000"/>
        </w:rPr>
        <w:t xml:space="preserve"> </w:t>
      </w:r>
    </w:p>
    <w:p w14:paraId="4E16C155">
      <w:pPr>
        <w:adjustRightInd w:val="0"/>
        <w:snapToGrid w:val="0"/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（二）支出预算：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2024年本部门支出预算10,416.99万元，其中：公共安全支出9,607.7万元，社会保障和就业支出488.32万元，住房保障支出320.97万元。支出较去年减少1,864.27万元，主要原因是项目支出减少。</w:t>
      </w:r>
    </w:p>
    <w:p w14:paraId="1BF837BD">
      <w:pPr>
        <w:adjustRightInd w:val="0"/>
        <w:snapToGrid w:val="0"/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2.部门决算情况（含年中预算追加情况）</w:t>
      </w:r>
    </w:p>
    <w:p w14:paraId="67AE542D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14301.68万元，其中：财政拨款收入14087.65万元，占98.5%；其他收入214.02万元，占1.5%。</w:t>
      </w:r>
    </w:p>
    <w:p w14:paraId="2124E91C">
      <w:pPr>
        <w:adjustRightInd w:val="0"/>
        <w:snapToGrid w:val="0"/>
        <w:spacing w:line="36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2024年度支出合计14301.68万元，其中基本支出6061.59万元，占42.38%；项目支出8240.08万元，占57.62%。</w:t>
      </w:r>
    </w:p>
    <w:p w14:paraId="62AF9639">
      <w:pPr>
        <w:adjustRightInd w:val="0"/>
        <w:snapToGrid w:val="0"/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3.“三公"经费执行情况</w:t>
      </w:r>
    </w:p>
    <w:p w14:paraId="4E5E1F8E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123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万元，其中：因公出国（境）费0万元，公务用车购置及运行维护费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85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38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117.23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元，其中：因公出国（境）费0万元，公务用车运行维护费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80.07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37.16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4680CB1F">
      <w:pPr>
        <w:adjustRightInd w:val="0"/>
        <w:snapToGrid w:val="0"/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4.政府采购执行情况</w:t>
      </w:r>
    </w:p>
    <w:p w14:paraId="634B2E70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1004.37</w:t>
      </w:r>
      <w:r>
        <w:rPr>
          <w:rFonts w:hint="eastAsia" w:ascii="仿宋" w:hAnsi="仿宋" w:eastAsia="仿宋" w:cs="仿宋"/>
          <w:sz w:val="32"/>
          <w:szCs w:val="32"/>
        </w:rPr>
        <w:t>万元，其中：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政府采购</w:t>
      </w:r>
      <w:r>
        <w:rPr>
          <w:rFonts w:hint="eastAsia" w:ascii="仿宋" w:hAnsi="仿宋" w:eastAsia="仿宋" w:cs="仿宋"/>
          <w:sz w:val="32"/>
          <w:szCs w:val="32"/>
        </w:rPr>
        <w:t>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支出265.65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政府采购</w:t>
      </w:r>
      <w:r>
        <w:rPr>
          <w:rFonts w:hint="eastAsia" w:ascii="仿宋" w:hAnsi="仿宋" w:eastAsia="仿宋" w:cs="仿宋"/>
          <w:sz w:val="32"/>
          <w:szCs w:val="32"/>
        </w:rPr>
        <w:t>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支出572.92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政府采购</w:t>
      </w:r>
      <w:r>
        <w:rPr>
          <w:rFonts w:hint="eastAsia" w:ascii="仿宋" w:hAnsi="仿宋" w:eastAsia="仿宋" w:cs="仿宋"/>
          <w:sz w:val="32"/>
          <w:szCs w:val="32"/>
        </w:rPr>
        <w:t>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支出165.8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1A4146F7">
      <w:pPr>
        <w:adjustRightInd w:val="0"/>
        <w:snapToGrid w:val="0"/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5.资产管理情况</w:t>
      </w:r>
    </w:p>
    <w:p w14:paraId="28E8DFE6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14191.55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2933.99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11257.56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7629.56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7629.56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万元，资产使用率100%。</w:t>
      </w:r>
    </w:p>
    <w:p w14:paraId="54305E52">
      <w:pPr>
        <w:adjustRightInd w:val="0"/>
        <w:snapToGrid w:val="0"/>
        <w:spacing w:line="360" w:lineRule="auto"/>
        <w:ind w:firstLine="321" w:firstLineChars="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 w14:paraId="30D2CA00">
      <w:pPr>
        <w:adjustRightInd w:val="0"/>
        <w:snapToGrid w:val="0"/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1.整体绩效目标完成情况</w:t>
      </w:r>
    </w:p>
    <w:p w14:paraId="1A007BFB">
      <w:pPr>
        <w:widowControl/>
        <w:adjustRightInd w:val="0"/>
        <w:snapToGrid w:val="0"/>
        <w:spacing w:line="600" w:lineRule="exact"/>
        <w:ind w:firstLine="640" w:firstLineChars="200"/>
        <w:rPr>
          <w:rFonts w:ascii="Times New Roman" w:hAnsi="仿宋" w:eastAsia="仿宋"/>
          <w:bCs/>
          <w:sz w:val="32"/>
          <w:szCs w:val="32"/>
          <w:shd w:val="clear" w:color="auto" w:fill="FFFFFF"/>
        </w:rPr>
      </w:pPr>
      <w:r>
        <w:rPr>
          <w:rFonts w:hint="eastAsia" w:ascii="Times New Roman" w:hAnsi="仿宋" w:eastAsia="仿宋"/>
          <w:bCs/>
          <w:sz w:val="32"/>
          <w:szCs w:val="32"/>
          <w:shd w:val="clear" w:color="auto" w:fill="FFFFFF"/>
        </w:rPr>
        <w:t>主要体现在“六个方面”：</w:t>
      </w:r>
    </w:p>
    <w:p w14:paraId="58EB37F4">
      <w:pPr>
        <w:widowControl/>
        <w:adjustRightInd w:val="0"/>
        <w:snapToGrid w:val="0"/>
        <w:spacing w:line="600" w:lineRule="exact"/>
        <w:ind w:firstLine="643" w:firstLineChars="200"/>
        <w:rPr>
          <w:rFonts w:ascii="Times New Roman" w:hAnsi="仿宋" w:eastAsia="仿宋"/>
          <w:bCs/>
          <w:sz w:val="32"/>
          <w:szCs w:val="32"/>
          <w:shd w:val="clear" w:color="auto" w:fill="FFFFFF"/>
        </w:rPr>
      </w:pPr>
      <w:r>
        <w:rPr>
          <w:rFonts w:hint="eastAsia" w:ascii="Times New Roman" w:hAnsi="楷体" w:eastAsia="楷体"/>
          <w:b/>
          <w:sz w:val="32"/>
          <w:szCs w:val="32"/>
        </w:rPr>
        <w:t>一是守住“稳”的底线</w:t>
      </w:r>
      <w:r>
        <w:rPr>
          <w:rFonts w:ascii="Times New Roman" w:hAnsi="楷体" w:eastAsia="楷体"/>
          <w:b/>
          <w:sz w:val="32"/>
          <w:szCs w:val="32"/>
        </w:rPr>
        <w:t>。</w:t>
      </w:r>
      <w:r>
        <w:rPr>
          <w:rFonts w:hint="eastAsia" w:ascii="Times New Roman" w:hAnsi="仿宋" w:eastAsia="仿宋"/>
          <w:bCs/>
          <w:sz w:val="32"/>
          <w:szCs w:val="32"/>
          <w:shd w:val="clear" w:color="auto" w:fill="FFFFFF"/>
        </w:rPr>
        <w:t>圆满完成了“两节”“两会”、旅发大会、土菜文化节等重要节点安保维稳和多次警卫任务；盯死看牢16类重点人员，对全县3710名十六类重点人员进行常态管控，尤其是对68名涉肇事肇祸严重精神障碍患者，7名涉个人极端人员，11名涉恐重点关注人员，定时见面走访，严格落实稳控和处置措施，严防发生现实危害和个人极端案事件；排查化解矛盾纠纷5269起，化解率99.77%；严打非访人员，刑拘3人；道路交通亡人事故数和死亡人数同比下降17.68%、20%，全县社会治安大局持续平稳。</w:t>
      </w:r>
    </w:p>
    <w:p w14:paraId="2D066694">
      <w:pPr>
        <w:spacing w:line="560" w:lineRule="exact"/>
        <w:ind w:firstLine="643" w:firstLineChars="200"/>
        <w:rPr>
          <w:rFonts w:hint="eastAsia" w:ascii="Times New Roman" w:hAnsi="仿宋" w:eastAsia="仿宋"/>
          <w:bCs/>
          <w:sz w:val="32"/>
          <w:szCs w:val="32"/>
          <w:shd w:val="clear" w:color="auto" w:fill="FFFFFF"/>
        </w:rPr>
      </w:pPr>
      <w:r>
        <w:rPr>
          <w:rFonts w:hint="eastAsia" w:ascii="Times New Roman" w:hAnsi="楷体" w:eastAsia="楷体"/>
          <w:b/>
          <w:sz w:val="32"/>
          <w:szCs w:val="32"/>
        </w:rPr>
        <w:t>二是彰显“</w:t>
      </w:r>
      <w:r>
        <w:rPr>
          <w:rFonts w:ascii="Times New Roman" w:hAnsi="楷体" w:eastAsia="楷体"/>
          <w:b/>
          <w:sz w:val="32"/>
          <w:szCs w:val="32"/>
        </w:rPr>
        <w:t>打</w:t>
      </w:r>
      <w:r>
        <w:rPr>
          <w:rFonts w:hint="eastAsia" w:ascii="Times New Roman" w:hAnsi="楷体" w:eastAsia="楷体"/>
          <w:b/>
          <w:sz w:val="32"/>
          <w:szCs w:val="32"/>
        </w:rPr>
        <w:t>”的</w:t>
      </w:r>
      <w:r>
        <w:rPr>
          <w:rFonts w:ascii="Times New Roman" w:hAnsi="楷体" w:eastAsia="楷体"/>
          <w:b/>
          <w:sz w:val="32"/>
          <w:szCs w:val="32"/>
        </w:rPr>
        <w:t>声威。</w:t>
      </w:r>
      <w:r>
        <w:rPr>
          <w:rFonts w:ascii="Times New Roman" w:hAnsi="仿宋" w:eastAsia="仿宋"/>
          <w:color w:val="000000"/>
          <w:sz w:val="32"/>
          <w:szCs w:val="32"/>
        </w:rPr>
        <w:t>全局共破案</w:t>
      </w:r>
      <w:r>
        <w:rPr>
          <w:rFonts w:hint="eastAsia" w:ascii="Times New Roman" w:hAnsi="仿宋" w:eastAsia="仿宋"/>
          <w:color w:val="000000"/>
          <w:sz w:val="32"/>
          <w:szCs w:val="32"/>
        </w:rPr>
        <w:t>591</w:t>
      </w:r>
      <w:r>
        <w:rPr>
          <w:rFonts w:ascii="Times New Roman" w:hAnsi="仿宋" w:eastAsia="仿宋"/>
          <w:color w:val="000000"/>
          <w:sz w:val="32"/>
          <w:szCs w:val="32"/>
        </w:rPr>
        <w:t>起，刑拘</w:t>
      </w:r>
      <w:r>
        <w:rPr>
          <w:rFonts w:hint="eastAsia" w:ascii="Times New Roman" w:hAnsi="仿宋" w:eastAsia="仿宋"/>
          <w:color w:val="000000"/>
          <w:sz w:val="32"/>
          <w:szCs w:val="32"/>
        </w:rPr>
        <w:t>557</w:t>
      </w:r>
      <w:r>
        <w:rPr>
          <w:rFonts w:ascii="Times New Roman" w:hAnsi="仿宋" w:eastAsia="仿宋"/>
          <w:color w:val="000000"/>
          <w:sz w:val="32"/>
          <w:szCs w:val="32"/>
        </w:rPr>
        <w:t>人，移诉</w:t>
      </w:r>
      <w:r>
        <w:rPr>
          <w:rFonts w:hint="eastAsia" w:ascii="Times New Roman" w:hAnsi="仿宋" w:eastAsia="仿宋"/>
          <w:color w:val="000000"/>
          <w:sz w:val="32"/>
          <w:szCs w:val="32"/>
        </w:rPr>
        <w:t>580</w:t>
      </w:r>
      <w:r>
        <w:rPr>
          <w:rFonts w:ascii="Times New Roman" w:hAnsi="仿宋" w:eastAsia="仿宋"/>
          <w:color w:val="000000"/>
          <w:sz w:val="32"/>
          <w:szCs w:val="32"/>
        </w:rPr>
        <w:t>人。查处行政案件</w:t>
      </w:r>
      <w:r>
        <w:rPr>
          <w:rFonts w:hint="eastAsia" w:ascii="Times New Roman" w:hAnsi="仿宋" w:eastAsia="仿宋"/>
          <w:color w:val="000000"/>
          <w:sz w:val="32"/>
          <w:szCs w:val="32"/>
        </w:rPr>
        <w:t>1223</w:t>
      </w:r>
      <w:r>
        <w:rPr>
          <w:rFonts w:ascii="Times New Roman" w:hAnsi="仿宋" w:eastAsia="仿宋"/>
          <w:color w:val="000000"/>
          <w:sz w:val="32"/>
          <w:szCs w:val="32"/>
        </w:rPr>
        <w:t>起，行政拘留</w:t>
      </w:r>
      <w:r>
        <w:rPr>
          <w:rFonts w:hint="eastAsia" w:ascii="Times New Roman" w:hAnsi="仿宋" w:eastAsia="仿宋"/>
          <w:color w:val="000000"/>
          <w:sz w:val="32"/>
          <w:szCs w:val="32"/>
        </w:rPr>
        <w:t>856</w:t>
      </w:r>
      <w:r>
        <w:rPr>
          <w:rFonts w:ascii="Times New Roman" w:hAnsi="仿宋" w:eastAsia="仿宋"/>
          <w:color w:val="000000"/>
          <w:sz w:val="32"/>
          <w:szCs w:val="32"/>
        </w:rPr>
        <w:t>人。</w:t>
      </w:r>
      <w:r>
        <w:rPr>
          <w:rFonts w:hint="eastAsia" w:ascii="Times New Roman" w:hAnsi="仿宋" w:eastAsia="仿宋"/>
          <w:color w:val="000000"/>
          <w:sz w:val="32"/>
          <w:szCs w:val="32"/>
        </w:rPr>
        <w:t>其中，</w:t>
      </w:r>
      <w:r>
        <w:rPr>
          <w:rFonts w:hint="eastAsia" w:ascii="Times New Roman" w:hAnsi="仿宋" w:eastAsia="仿宋"/>
          <w:b/>
          <w:bCs w:val="0"/>
          <w:sz w:val="32"/>
          <w:szCs w:val="32"/>
          <w:shd w:val="clear" w:color="auto" w:fill="FFFFFF"/>
        </w:rPr>
        <w:t>扫黑除恶方面，</w:t>
      </w:r>
      <w:r>
        <w:rPr>
          <w:rFonts w:hint="eastAsia" w:ascii="Times New Roman" w:hAnsi="仿宋" w:eastAsia="仿宋"/>
          <w:color w:val="000000"/>
          <w:sz w:val="32"/>
          <w:szCs w:val="32"/>
          <w:lang w:eastAsia="zh-CN"/>
        </w:rPr>
        <w:t>打掉涉黑恶集团</w:t>
      </w:r>
      <w:r>
        <w:rPr>
          <w:rFonts w:hint="eastAsia" w:ascii="Times New Roman" w:hAnsi="仿宋" w:eastAsia="仿宋"/>
          <w:color w:val="000000"/>
          <w:sz w:val="32"/>
          <w:szCs w:val="32"/>
          <w:lang w:val="en-US" w:eastAsia="zh-CN"/>
        </w:rPr>
        <w:t>1个，刑拘29人，查扣“黑财”32万余元。</w:t>
      </w:r>
      <w:r>
        <w:rPr>
          <w:rFonts w:hint="eastAsia" w:ascii="Times New Roman" w:hAnsi="仿宋" w:eastAsia="仿宋"/>
          <w:b/>
          <w:bCs w:val="0"/>
          <w:sz w:val="32"/>
          <w:szCs w:val="32"/>
          <w:shd w:val="clear" w:color="auto" w:fill="FFFFFF"/>
        </w:rPr>
        <w:t>反诈打跨方面</w:t>
      </w:r>
      <w:r>
        <w:rPr>
          <w:rFonts w:hint="eastAsia" w:ascii="Times New Roman" w:hAnsi="仿宋" w:eastAsia="仿宋"/>
          <w:b/>
          <w:bCs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Times New Roman" w:hAnsi="仿宋" w:eastAsia="仿宋"/>
          <w:color w:val="000000"/>
          <w:sz w:val="32"/>
          <w:szCs w:val="32"/>
          <w:lang w:eastAsia="zh-CN"/>
        </w:rPr>
        <w:t>破案</w:t>
      </w:r>
      <w:r>
        <w:rPr>
          <w:rFonts w:hint="eastAsia" w:ascii="Times New Roman" w:hAnsi="仿宋" w:eastAsia="仿宋"/>
          <w:color w:val="000000"/>
          <w:sz w:val="32"/>
          <w:szCs w:val="32"/>
          <w:lang w:val="en-US" w:eastAsia="zh-CN"/>
        </w:rPr>
        <w:t>55起，刑拘100人，移诉49人，境外劝返8人，现存滞留境外涉诈重点人员27人。</w:t>
      </w:r>
      <w:r>
        <w:rPr>
          <w:rFonts w:hint="eastAsia" w:ascii="Times New Roman" w:hAnsi="仿宋" w:eastAsia="仿宋"/>
          <w:b/>
          <w:bCs w:val="0"/>
          <w:sz w:val="32"/>
          <w:szCs w:val="32"/>
          <w:shd w:val="clear" w:color="auto" w:fill="FFFFFF"/>
          <w:lang w:eastAsia="zh-CN"/>
        </w:rPr>
        <w:t>禁毒方面，</w:t>
      </w:r>
      <w:r>
        <w:rPr>
          <w:rFonts w:hint="eastAsia" w:ascii="Times New Roman" w:hAnsi="仿宋" w:eastAsia="仿宋"/>
          <w:color w:val="000000"/>
          <w:sz w:val="32"/>
          <w:szCs w:val="32"/>
          <w:lang w:val="en-US" w:eastAsia="zh-CN"/>
        </w:rPr>
        <w:t>破案11起，刑拘27人，移诉26人，查处行政案件40起，行政处罚40人，自愿戒毒13人，训诫125人。</w:t>
      </w:r>
      <w:r>
        <w:rPr>
          <w:rFonts w:hint="eastAsia" w:ascii="Times New Roman" w:hAnsi="仿宋" w:eastAsia="仿宋"/>
          <w:b/>
          <w:bCs w:val="0"/>
          <w:sz w:val="32"/>
          <w:szCs w:val="32"/>
          <w:shd w:val="clear" w:color="auto" w:fill="FFFFFF"/>
          <w:lang w:eastAsia="zh-CN"/>
        </w:rPr>
        <w:t>打击性侵未成年人方面，</w:t>
      </w:r>
      <w:r>
        <w:rPr>
          <w:rFonts w:hint="eastAsia" w:ascii="Times New Roman" w:hAnsi="仿宋" w:eastAsia="仿宋"/>
          <w:color w:val="000000"/>
          <w:sz w:val="32"/>
          <w:szCs w:val="32"/>
          <w:lang w:val="en-US" w:eastAsia="zh-CN"/>
        </w:rPr>
        <w:t>破获现行案件7起，刑拘8人，发案数同比下降53.3%。</w:t>
      </w:r>
      <w:r>
        <w:rPr>
          <w:rFonts w:hint="eastAsia" w:ascii="Times New Roman" w:hAnsi="仿宋" w:eastAsia="仿宋"/>
          <w:b/>
          <w:bCs w:val="0"/>
          <w:sz w:val="32"/>
          <w:szCs w:val="32"/>
          <w:shd w:val="clear" w:color="auto" w:fill="FFFFFF"/>
        </w:rPr>
        <w:t>涉枪涉爆方面，</w:t>
      </w:r>
      <w:r>
        <w:rPr>
          <w:rFonts w:hint="eastAsia" w:ascii="Times New Roman" w:hAnsi="仿宋" w:eastAsia="仿宋"/>
          <w:bCs/>
          <w:sz w:val="32"/>
          <w:szCs w:val="32"/>
          <w:shd w:val="clear" w:color="auto" w:fill="FFFFFF"/>
        </w:rPr>
        <w:t>办理涉枪爆刑事案件4起，查处行政案件32起，缴获一大批涉枪涉爆物品。</w:t>
      </w:r>
    </w:p>
    <w:p w14:paraId="3CFAB416">
      <w:pPr>
        <w:spacing w:line="560" w:lineRule="exact"/>
        <w:ind w:firstLine="643" w:firstLineChars="200"/>
        <w:rPr>
          <w:rFonts w:ascii="Times New Roman" w:hAnsi="仿宋" w:eastAsia="仿宋"/>
          <w:bCs/>
          <w:sz w:val="32"/>
          <w:szCs w:val="32"/>
          <w:shd w:val="clear" w:color="auto" w:fill="FFFFFF"/>
        </w:rPr>
      </w:pPr>
      <w:r>
        <w:rPr>
          <w:rFonts w:hint="eastAsia" w:ascii="Times New Roman" w:hAnsi="楷体" w:eastAsia="楷体"/>
          <w:b/>
          <w:sz w:val="32"/>
          <w:szCs w:val="32"/>
        </w:rPr>
        <w:t>三是强化“防</w:t>
      </w:r>
      <w:r>
        <w:rPr>
          <w:rFonts w:ascii="Times New Roman" w:hAnsi="楷体" w:eastAsia="楷体"/>
          <w:b/>
          <w:sz w:val="32"/>
          <w:szCs w:val="32"/>
        </w:rPr>
        <w:t>”</w:t>
      </w:r>
      <w:r>
        <w:rPr>
          <w:rFonts w:hint="eastAsia" w:ascii="Times New Roman" w:hAnsi="楷体" w:eastAsia="楷体"/>
          <w:b/>
          <w:sz w:val="32"/>
          <w:szCs w:val="32"/>
        </w:rPr>
        <w:t>的支撑。</w:t>
      </w:r>
      <w:r>
        <w:rPr>
          <w:rFonts w:hint="eastAsia" w:ascii="Times New Roman" w:hAnsi="仿宋" w:eastAsia="仿宋"/>
          <w:sz w:val="32"/>
          <w:szCs w:val="32"/>
        </w:rPr>
        <w:t>成立大数据中心、基础管控中心并高效实体运行。</w:t>
      </w:r>
      <w:r>
        <w:rPr>
          <w:rFonts w:hint="eastAsia" w:ascii="Times New Roman" w:hAnsi="仿宋" w:eastAsia="仿宋"/>
          <w:b/>
          <w:sz w:val="32"/>
          <w:szCs w:val="32"/>
        </w:rPr>
        <w:t>依托专业打击队伍，</w:t>
      </w:r>
      <w:r>
        <w:rPr>
          <w:rFonts w:hint="eastAsia" w:ascii="Times New Roman" w:hAnsi="仿宋" w:eastAsia="仿宋"/>
          <w:sz w:val="32"/>
          <w:szCs w:val="32"/>
        </w:rPr>
        <w:t>以专业对付职业，各类案件打击效能显著提升，入室盗窃实现快侦快破，传统盗抢骗破案率从30%提升至67%，挽损率上升36.88个百分点</w:t>
      </w:r>
      <w:r>
        <w:rPr>
          <w:rFonts w:hint="eastAsia" w:ascii="Times New Roman" w:hAnsi="Times New Roman" w:eastAsia="仿宋"/>
          <w:sz w:val="32"/>
          <w:szCs w:val="32"/>
        </w:rPr>
        <w:t>，</w:t>
      </w:r>
      <w:r>
        <w:rPr>
          <w:rFonts w:hint="eastAsia" w:ascii="Times New Roman" w:hAnsi="仿宋" w:eastAsia="仿宋"/>
          <w:bCs/>
          <w:sz w:val="32"/>
          <w:szCs w:val="32"/>
          <w:shd w:val="clear" w:color="auto" w:fill="FFFFFF"/>
        </w:rPr>
        <w:t>全县刑事、治安警情同比下降</w:t>
      </w:r>
      <w:r>
        <w:rPr>
          <w:rFonts w:hint="eastAsia" w:ascii="Times New Roman" w:hAnsi="Times New Roman" w:eastAsia="仿宋"/>
          <w:sz w:val="32"/>
          <w:szCs w:val="32"/>
        </w:rPr>
        <w:t>56.5%、24.6%</w:t>
      </w:r>
      <w:r>
        <w:rPr>
          <w:rFonts w:hint="eastAsia" w:ascii="Times New Roman" w:hAnsi="仿宋" w:eastAsia="仿宋"/>
          <w:sz w:val="32"/>
          <w:szCs w:val="32"/>
        </w:rPr>
        <w:t>。</w:t>
      </w:r>
      <w:r>
        <w:rPr>
          <w:rFonts w:hint="eastAsia" w:ascii="Times New Roman" w:hAnsi="仿宋" w:eastAsia="仿宋"/>
          <w:b/>
          <w:sz w:val="32"/>
          <w:szCs w:val="32"/>
        </w:rPr>
        <w:t>强化社会面管控，</w:t>
      </w:r>
      <w:r>
        <w:rPr>
          <w:rFonts w:hint="eastAsia" w:ascii="Times New Roman" w:hAnsi="仿宋" w:eastAsia="仿宋"/>
          <w:bCs/>
          <w:sz w:val="32"/>
          <w:szCs w:val="32"/>
          <w:shd w:val="clear" w:color="auto" w:fill="FFFFFF"/>
        </w:rPr>
        <w:t>开展20余次统一集中清查行动，检查场所6000余家次，处罚22家，其中行政处罚8家，取缔1家，限期整改11家。对4家未严格落实未成年人入住相关规定的宾旅馆实行取缔、限期整改、行政警告、罚款6500余元。查处3家娱乐场所，采取强制措施9人，行政处罚20人。</w:t>
      </w:r>
      <w:r>
        <w:rPr>
          <w:rFonts w:hint="eastAsia" w:ascii="Times New Roman" w:hAnsi="仿宋" w:eastAsia="仿宋"/>
          <w:b/>
          <w:sz w:val="32"/>
          <w:szCs w:val="32"/>
        </w:rPr>
        <w:t>充分挖掘数据潜力，</w:t>
      </w:r>
      <w:r>
        <w:rPr>
          <w:rFonts w:hint="eastAsia" w:ascii="Times New Roman" w:hAnsi="仿宋" w:eastAsia="仿宋"/>
          <w:sz w:val="32"/>
          <w:szCs w:val="32"/>
        </w:rPr>
        <w:t>向数据要警力、战斗力，大数据中心受理任务408起，办结388起，为求助、走失类警情以及涉访涉稳线索提供实时情报信息，成功抓获了潜逃35年命案逃犯，为多起省督、部督案件的侦办提供有力支撑。</w:t>
      </w:r>
    </w:p>
    <w:p w14:paraId="2F4757F1">
      <w:pPr>
        <w:widowControl/>
        <w:adjustRightInd w:val="0"/>
        <w:snapToGrid w:val="0"/>
        <w:spacing w:line="600" w:lineRule="exact"/>
        <w:ind w:firstLine="643" w:firstLineChars="200"/>
        <w:rPr>
          <w:rFonts w:ascii="Times New Roman" w:hAnsi="仿宋" w:eastAsia="仿宋"/>
          <w:bCs/>
          <w:sz w:val="32"/>
          <w:szCs w:val="32"/>
          <w:shd w:val="clear" w:color="auto" w:fill="FFFFFF"/>
        </w:rPr>
      </w:pPr>
      <w:r>
        <w:rPr>
          <w:rFonts w:hint="eastAsia" w:ascii="Times New Roman" w:hAnsi="楷体" w:eastAsia="楷体"/>
          <w:b/>
          <w:sz w:val="32"/>
          <w:szCs w:val="32"/>
        </w:rPr>
        <w:t>四是夯实“建”的基础。</w:t>
      </w:r>
      <w:r>
        <w:rPr>
          <w:rFonts w:ascii="Times New Roman" w:hAnsi="仿宋" w:eastAsia="仿宋"/>
          <w:sz w:val="32"/>
          <w:szCs w:val="32"/>
        </w:rPr>
        <w:t>巡特警大队营房</w:t>
      </w:r>
      <w:r>
        <w:rPr>
          <w:rFonts w:hint="eastAsia" w:ascii="Times New Roman" w:hAnsi="仿宋" w:eastAsia="仿宋"/>
          <w:sz w:val="32"/>
          <w:szCs w:val="32"/>
        </w:rPr>
        <w:t>建设完成并投入使用，强所工程（一期）荣桓、霞流、杨林派出所三个项目正在施工中，拟于2025年1月完工，（二期）已在走程序。衡东县视频补盲提质改造项目、5G电子信息采集系统建设项目近期挂网招标，新业务技术用房建设正在加速推进。新一批共350台警务通将在近期下发使用。</w:t>
      </w:r>
    </w:p>
    <w:p w14:paraId="753020D6">
      <w:pPr>
        <w:widowControl/>
        <w:adjustRightInd w:val="0"/>
        <w:snapToGrid w:val="0"/>
        <w:spacing w:line="600" w:lineRule="exact"/>
        <w:ind w:firstLine="643" w:firstLineChars="200"/>
        <w:rPr>
          <w:rFonts w:ascii="Times New Roman" w:hAnsi="仿宋" w:eastAsia="仿宋"/>
          <w:bCs/>
          <w:sz w:val="32"/>
          <w:szCs w:val="32"/>
          <w:shd w:val="clear" w:color="auto" w:fill="FFFFFF"/>
        </w:rPr>
      </w:pPr>
      <w:r>
        <w:rPr>
          <w:rFonts w:hint="eastAsia" w:ascii="Times New Roman" w:hAnsi="楷体" w:eastAsia="楷体"/>
          <w:b/>
          <w:sz w:val="32"/>
          <w:szCs w:val="32"/>
        </w:rPr>
        <w:t>五是坚持“严”的基调。</w:t>
      </w:r>
      <w:r>
        <w:rPr>
          <w:rFonts w:hint="eastAsia" w:ascii="Times New Roman" w:hAnsi="仿宋" w:eastAsia="仿宋"/>
          <w:sz w:val="32"/>
          <w:szCs w:val="32"/>
        </w:rPr>
        <w:t>一是</w:t>
      </w:r>
      <w:r>
        <w:rPr>
          <w:rFonts w:ascii="Times New Roman" w:hAnsi="仿宋" w:eastAsia="仿宋"/>
          <w:sz w:val="32"/>
          <w:szCs w:val="32"/>
        </w:rPr>
        <w:t>深</w:t>
      </w:r>
      <w:r>
        <w:rPr>
          <w:rFonts w:ascii="仿宋" w:hAnsi="仿宋" w:eastAsia="仿宋"/>
          <w:sz w:val="32"/>
          <w:szCs w:val="32"/>
        </w:rPr>
        <w:t>入开展主题教育，</w:t>
      </w:r>
      <w:r>
        <w:rPr>
          <w:rFonts w:hint="eastAsia" w:ascii="仿宋" w:hAnsi="仿宋" w:eastAsia="仿宋"/>
          <w:sz w:val="32"/>
          <w:szCs w:val="32"/>
        </w:rPr>
        <w:t>进一步</w:t>
      </w:r>
      <w:r>
        <w:rPr>
          <w:rFonts w:ascii="仿宋" w:hAnsi="仿宋" w:eastAsia="仿宋"/>
          <w:sz w:val="32"/>
          <w:szCs w:val="32"/>
        </w:rPr>
        <w:t>深化政治建警；</w:t>
      </w:r>
      <w:r>
        <w:rPr>
          <w:rFonts w:hint="eastAsia" w:ascii="仿宋" w:hAnsi="仿宋" w:eastAsia="仿宋"/>
          <w:sz w:val="32"/>
          <w:szCs w:val="32"/>
        </w:rPr>
        <w:t>二是始终</w:t>
      </w:r>
      <w:r>
        <w:rPr>
          <w:rFonts w:ascii="Times New Roman" w:hAnsi="仿宋" w:eastAsia="仿宋"/>
          <w:sz w:val="32"/>
          <w:szCs w:val="32"/>
        </w:rPr>
        <w:t>坚持正确选人用人导向</w:t>
      </w:r>
      <w:r>
        <w:rPr>
          <w:rFonts w:hint="eastAsia" w:ascii="Times New Roman" w:hAnsi="仿宋" w:eastAsia="仿宋"/>
          <w:sz w:val="32"/>
          <w:szCs w:val="32"/>
        </w:rPr>
        <w:t>，</w:t>
      </w:r>
      <w:r>
        <w:rPr>
          <w:rFonts w:ascii="Times New Roman" w:hAnsi="仿宋" w:eastAsia="仿宋"/>
          <w:sz w:val="32"/>
          <w:szCs w:val="32"/>
        </w:rPr>
        <w:t>积极推动全局干部岗位交流</w:t>
      </w:r>
      <w:r>
        <w:rPr>
          <w:rFonts w:hint="eastAsia" w:ascii="Times New Roman" w:hAnsi="Times New Roman" w:eastAsia="仿宋"/>
          <w:sz w:val="32"/>
          <w:szCs w:val="32"/>
        </w:rPr>
        <w:t>；三是</w:t>
      </w:r>
      <w:r>
        <w:rPr>
          <w:rFonts w:ascii="Times New Roman" w:hAnsi="仿宋" w:eastAsia="仿宋"/>
          <w:sz w:val="32"/>
          <w:szCs w:val="32"/>
        </w:rPr>
        <w:t>全面落实暖警惠警政策</w:t>
      </w:r>
      <w:r>
        <w:rPr>
          <w:rFonts w:hint="eastAsia" w:ascii="Times New Roman" w:hAnsi="仿宋" w:eastAsia="仿宋"/>
          <w:sz w:val="32"/>
          <w:szCs w:val="32"/>
        </w:rPr>
        <w:t>，及时</w:t>
      </w:r>
      <w:r>
        <w:rPr>
          <w:rFonts w:ascii="Times New Roman" w:hAnsi="仿宋" w:eastAsia="仿宋"/>
          <w:sz w:val="32"/>
          <w:szCs w:val="32"/>
        </w:rPr>
        <w:t>完成</w:t>
      </w:r>
      <w:r>
        <w:rPr>
          <w:rFonts w:hint="eastAsia" w:ascii="Times New Roman" w:hAnsi="仿宋" w:eastAsia="仿宋"/>
          <w:sz w:val="32"/>
          <w:szCs w:val="32"/>
        </w:rPr>
        <w:t>民警</w:t>
      </w:r>
      <w:r>
        <w:rPr>
          <w:rFonts w:ascii="Times New Roman" w:hAnsi="仿宋" w:eastAsia="仿宋"/>
          <w:sz w:val="32"/>
          <w:szCs w:val="32"/>
        </w:rPr>
        <w:t>职级晋升</w:t>
      </w:r>
      <w:r>
        <w:rPr>
          <w:rFonts w:hint="eastAsia" w:ascii="Times New Roman" w:hAnsi="仿宋" w:eastAsia="仿宋"/>
          <w:sz w:val="32"/>
          <w:szCs w:val="32"/>
        </w:rPr>
        <w:t>，</w:t>
      </w:r>
      <w:r>
        <w:rPr>
          <w:rFonts w:ascii="Times New Roman" w:hAnsi="仿宋" w:eastAsia="仿宋"/>
          <w:sz w:val="32"/>
          <w:szCs w:val="32"/>
        </w:rPr>
        <w:t>对困难民辅警实行</w:t>
      </w:r>
      <w:r>
        <w:rPr>
          <w:rFonts w:ascii="Times New Roman" w:hAnsi="Times New Roman" w:eastAsia="仿宋"/>
          <w:sz w:val="32"/>
          <w:szCs w:val="32"/>
        </w:rPr>
        <w:t>“</w:t>
      </w:r>
      <w:r>
        <w:rPr>
          <w:rFonts w:ascii="Times New Roman" w:hAnsi="仿宋" w:eastAsia="仿宋"/>
          <w:sz w:val="32"/>
          <w:szCs w:val="32"/>
        </w:rPr>
        <w:t>一人一策</w:t>
      </w:r>
      <w:r>
        <w:rPr>
          <w:rFonts w:ascii="Times New Roman" w:hAnsi="Times New Roman" w:eastAsia="仿宋"/>
          <w:sz w:val="32"/>
          <w:szCs w:val="32"/>
        </w:rPr>
        <w:t>”</w:t>
      </w:r>
      <w:r>
        <w:rPr>
          <w:rFonts w:ascii="Times New Roman" w:hAnsi="仿宋" w:eastAsia="仿宋"/>
          <w:sz w:val="32"/>
          <w:szCs w:val="32"/>
        </w:rPr>
        <w:t>优抚救助</w:t>
      </w:r>
      <w:r>
        <w:rPr>
          <w:rFonts w:hint="eastAsia" w:ascii="Times New Roman" w:hAnsi="仿宋" w:eastAsia="仿宋"/>
          <w:sz w:val="32"/>
          <w:szCs w:val="32"/>
        </w:rPr>
        <w:t>；四是持续强化队伍管理，</w:t>
      </w:r>
      <w:r>
        <w:rPr>
          <w:rFonts w:hint="eastAsia" w:ascii="Times New Roman" w:hAnsi="仿宋" w:eastAsia="仿宋"/>
          <w:bCs/>
          <w:sz w:val="32"/>
          <w:szCs w:val="32"/>
          <w:shd w:val="clear" w:color="auto" w:fill="FFFFFF"/>
        </w:rPr>
        <w:t>以胜平副市长“5.25”来衡东调研督导为契机，持续加强内务管理，队伍面貌焕然一新。</w:t>
      </w:r>
    </w:p>
    <w:p w14:paraId="502AB69D">
      <w:pPr>
        <w:spacing w:line="600" w:lineRule="exact"/>
        <w:ind w:firstLine="643" w:firstLineChars="200"/>
        <w:rPr>
          <w:rFonts w:ascii="Times New Roman" w:hAnsi="仿宋" w:eastAsia="仿宋"/>
          <w:bCs/>
          <w:sz w:val="32"/>
          <w:szCs w:val="32"/>
          <w:shd w:val="clear" w:color="auto" w:fill="FFFFFF"/>
        </w:rPr>
      </w:pPr>
      <w:r>
        <w:rPr>
          <w:rFonts w:hint="eastAsia" w:ascii="Times New Roman" w:hAnsi="楷体" w:eastAsia="楷体"/>
          <w:b/>
          <w:sz w:val="32"/>
          <w:szCs w:val="32"/>
        </w:rPr>
        <w:t>六是争创“优”的佳绩。</w:t>
      </w:r>
      <w:r>
        <w:rPr>
          <w:rFonts w:hint="eastAsia" w:ascii="Times New Roman" w:hAnsi="仿宋" w:eastAsia="仿宋"/>
          <w:sz w:val="32"/>
          <w:szCs w:val="32"/>
        </w:rPr>
        <w:t>狠抓财源建设，强力推进大案要案攻坚，扎实推进民生小案快侦快破。</w:t>
      </w:r>
      <w:r>
        <w:rPr>
          <w:rFonts w:hint="eastAsia" w:ascii="Times New Roman" w:hAnsi="仿宋" w:eastAsia="仿宋"/>
          <w:b/>
          <w:sz w:val="32"/>
          <w:szCs w:val="32"/>
        </w:rPr>
        <w:t>财源建设方面，</w:t>
      </w:r>
      <w:r>
        <w:rPr>
          <w:rFonts w:hint="eastAsia" w:ascii="Times New Roman" w:hAnsi="仿宋" w:eastAsia="仿宋"/>
          <w:bCs/>
          <w:sz w:val="32"/>
          <w:szCs w:val="32"/>
          <w:shd w:val="clear" w:color="auto" w:fill="FFFFFF"/>
        </w:rPr>
        <w:t>截止十一月底，</w:t>
      </w:r>
      <w:r>
        <w:rPr>
          <w:rFonts w:hint="eastAsia" w:ascii="Times New Roman" w:hAnsi="仿宋" w:eastAsia="仿宋"/>
          <w:sz w:val="32"/>
          <w:szCs w:val="32"/>
        </w:rPr>
        <w:t>我局已完成罚没收入县级入库10300余万元，超基数8300余万元。</w:t>
      </w:r>
      <w:r>
        <w:rPr>
          <w:rFonts w:hint="eastAsia" w:ascii="Times New Roman" w:hAnsi="仿宋" w:eastAsia="仿宋"/>
          <w:b/>
          <w:sz w:val="32"/>
          <w:szCs w:val="32"/>
        </w:rPr>
        <w:t>大案要案方面，</w:t>
      </w:r>
      <w:r>
        <w:rPr>
          <w:rFonts w:hint="eastAsia" w:ascii="Times New Roman" w:hAnsi="Times New Roman" w:eastAsia="仿宋"/>
          <w:sz w:val="32"/>
          <w:szCs w:val="32"/>
        </w:rPr>
        <w:t>侦</w:t>
      </w:r>
      <w:r>
        <w:rPr>
          <w:rFonts w:hint="eastAsia" w:ascii="Times New Roman" w:hAnsi="仿宋" w:eastAsia="仿宋"/>
          <w:sz w:val="32"/>
          <w:szCs w:val="32"/>
        </w:rPr>
        <w:t>办省督案件8起以上，侦破部督重大黄赌“12.11”开设赌场案和“2023-375”毒品目标案件，“12.11”开设赌场案、11.08”罗小玉等人组织他人偷越国（边）境案等多起案件办理受到上级贺电以及领导高度认可。</w:t>
      </w:r>
      <w:r>
        <w:rPr>
          <w:rFonts w:hint="eastAsia" w:ascii="Times New Roman" w:hAnsi="仿宋" w:eastAsia="仿宋"/>
          <w:b/>
          <w:sz w:val="32"/>
          <w:szCs w:val="32"/>
        </w:rPr>
        <w:t>民生小案方面，</w:t>
      </w:r>
      <w:r>
        <w:rPr>
          <w:rFonts w:hint="eastAsia" w:ascii="Times New Roman" w:hAnsi="仿宋" w:eastAsia="仿宋"/>
          <w:sz w:val="32"/>
          <w:szCs w:val="32"/>
        </w:rPr>
        <w:t>破获涉黄赌刑事案件36起，刑拘49人，监视居住2人；查处行政案件147起，行政处罚405人。涉传统盗抢骗，破案198起，破案率67%，追赃挽损率73.44%，破案率、追赃挽损率与上半年相比大幅提升。</w:t>
      </w:r>
    </w:p>
    <w:p w14:paraId="4FC82151">
      <w:pPr>
        <w:adjustRightInd w:val="0"/>
        <w:snapToGrid w:val="0"/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0ZWJhZDQyZWExZmUwOWM5YTc5MjE2OWQ3OGM1YzAifQ=="/>
  </w:docVars>
  <w:rsids>
    <w:rsidRoot w:val="30ED2D15"/>
    <w:rsid w:val="130D186D"/>
    <w:rsid w:val="1C127122"/>
    <w:rsid w:val="2E2B37FC"/>
    <w:rsid w:val="30ED2D15"/>
    <w:rsid w:val="316A5589"/>
    <w:rsid w:val="3D2E2FD3"/>
    <w:rsid w:val="3D7139EB"/>
    <w:rsid w:val="489A1BEA"/>
    <w:rsid w:val="6C2C6080"/>
    <w:rsid w:val="79A92622"/>
    <w:rsid w:val="7ADE0E8D"/>
    <w:rsid w:val="7C92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3">
    <w:name w:val="Body Text Indent"/>
    <w:basedOn w:val="1"/>
    <w:next w:val="2"/>
    <w:unhideWhenUsed/>
    <w:qFormat/>
    <w:uiPriority w:val="99"/>
    <w:pPr>
      <w:spacing w:after="120"/>
      <w:ind w:left="420" w:leftChars="200"/>
    </w:pPr>
  </w:style>
  <w:style w:type="paragraph" w:styleId="4">
    <w:name w:val="toc 4"/>
    <w:basedOn w:val="1"/>
    <w:next w:val="1"/>
    <w:qFormat/>
    <w:uiPriority w:val="0"/>
    <w:pPr>
      <w:ind w:left="1260"/>
    </w:pPr>
    <w:rPr>
      <w:rFonts w:ascii="黑体" w:eastAsia="黑体"/>
      <w:sz w:val="32"/>
      <w:szCs w:val="32"/>
    </w:rPr>
  </w:style>
  <w:style w:type="paragraph" w:styleId="5">
    <w:name w:val="Body Text First Indent 2"/>
    <w:basedOn w:val="3"/>
    <w:next w:val="4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1837</Words>
  <Characters>2113</Characters>
  <Lines>0</Lines>
  <Paragraphs>0</Paragraphs>
  <TotalTime>12</TotalTime>
  <ScaleCrop>false</ScaleCrop>
  <LinksUpToDate>false</LinksUpToDate>
  <CharactersWithSpaces>2113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2024-04-02T07:20:00Z</dcterms:created>
  <dc:creator>一笑而过</dc:creator>
  <cp:lastModifiedBy>一笑而过</cp:lastModifiedBy>
  <dcterms:modified xsi:type="dcterms:W3CDTF">2025-10-21T07:42:42Z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BD5F8BB912D24EF7BC1B909522C21ABF_13</vt:lpwstr>
  </property>
  <property fmtid="{D5CDD505-2E9C-101B-9397-08002B2CF9AE}" pid="4" name="KSOTemplateDocerSaveRecord">
    <vt:lpwstr>eyJoZGlkIjoiZDI0ZWJhZDQyZWExZmUwOWM5YTc5MjE2OWQ3OGM1YzAiLCJ1c2VySWQiOiI3MzIzNzk4MDQifQ==</vt:lpwstr>
  </property>
</Properties>
</file>