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4DAC35">
      <w:pPr>
        <w:jc w:val="center"/>
        <w:rPr>
          <w:rFonts w:hint="eastAsia"/>
          <w:sz w:val="36"/>
          <w:szCs w:val="36"/>
        </w:rPr>
      </w:pPr>
    </w:p>
    <w:p w14:paraId="317E7404">
      <w:pPr>
        <w:jc w:val="center"/>
        <w:rPr>
          <w:rFonts w:hint="eastAsia" w:ascii="宋体" w:hAnsi="宋体" w:eastAsia="宋体" w:cs="宋体"/>
          <w:sz w:val="44"/>
          <w:szCs w:val="44"/>
        </w:rPr>
      </w:pPr>
      <w:r>
        <w:rPr>
          <w:rFonts w:hint="eastAsia" w:ascii="宋体" w:hAnsi="宋体" w:eastAsia="宋体" w:cs="宋体"/>
          <w:sz w:val="44"/>
          <w:szCs w:val="44"/>
        </w:rPr>
        <w:t>202</w:t>
      </w:r>
      <w:r>
        <w:rPr>
          <w:rFonts w:hint="eastAsia" w:ascii="宋体" w:hAnsi="宋体" w:eastAsia="宋体" w:cs="宋体"/>
          <w:sz w:val="44"/>
          <w:szCs w:val="44"/>
          <w:lang w:val="en-US" w:eastAsia="zh-CN"/>
        </w:rPr>
        <w:t>4</w:t>
      </w:r>
      <w:r>
        <w:rPr>
          <w:rFonts w:hint="eastAsia" w:ascii="宋体" w:hAnsi="宋体" w:eastAsia="宋体" w:cs="宋体"/>
          <w:sz w:val="44"/>
          <w:szCs w:val="44"/>
        </w:rPr>
        <w:t>年度部门整体支出绩效自评报告</w:t>
      </w:r>
    </w:p>
    <w:p w14:paraId="32729766">
      <w:pPr>
        <w:jc w:val="left"/>
        <w:rPr>
          <w:rFonts w:hint="eastAsia"/>
          <w:sz w:val="32"/>
          <w:szCs w:val="32"/>
        </w:rPr>
      </w:pPr>
    </w:p>
    <w:p w14:paraId="443E2D51">
      <w:pPr>
        <w:numPr>
          <w:ilvl w:val="0"/>
          <w:numId w:val="1"/>
        </w:numPr>
        <w:jc w:val="left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单位基本情况</w:t>
      </w:r>
    </w:p>
    <w:p w14:paraId="0C7AE2AA">
      <w:pPr>
        <w:numPr>
          <w:ilvl w:val="0"/>
          <w:numId w:val="0"/>
        </w:numPr>
        <w:jc w:val="left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1、部门主要职责</w:t>
      </w:r>
    </w:p>
    <w:p w14:paraId="693330B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63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212529"/>
          <w:spacing w:val="0"/>
          <w:sz w:val="24"/>
          <w:szCs w:val="24"/>
        </w:rPr>
      </w:pPr>
      <w:r>
        <w:rPr>
          <w:rFonts w:hint="eastAsia" w:ascii="Helvetica" w:hAnsi="Helvetica" w:eastAsia="Helvetica" w:cs="Helvetica"/>
          <w:i w:val="0"/>
          <w:iCs w:val="0"/>
          <w:caps w:val="0"/>
          <w:color w:val="212529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（</w:t>
      </w:r>
      <w:r>
        <w:rPr>
          <w:rFonts w:hint="default" w:ascii="Helvetica" w:hAnsi="Helvetica" w:eastAsia="Helvetica" w:cs="Helvetica"/>
          <w:i w:val="0"/>
          <w:iCs w:val="0"/>
          <w:caps w:val="0"/>
          <w:color w:val="212529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1</w:t>
      </w:r>
      <w:r>
        <w:rPr>
          <w:rFonts w:hint="eastAsia" w:ascii="Helvetica" w:hAnsi="Helvetica" w:eastAsia="Helvetica" w:cs="Helvetica"/>
          <w:i w:val="0"/>
          <w:iCs w:val="0"/>
          <w:caps w:val="0"/>
          <w:color w:val="212529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）</w:t>
      </w:r>
      <w:r>
        <w:rPr>
          <w:rFonts w:hint="default" w:ascii="Helvetica" w:hAnsi="Helvetica" w:eastAsia="Helvetica" w:cs="Helvetica"/>
          <w:i w:val="0"/>
          <w:iCs w:val="0"/>
          <w:caps w:val="0"/>
          <w:color w:val="212529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负责全县中小企业的发展服务工作。</w:t>
      </w:r>
    </w:p>
    <w:p w14:paraId="26E56B1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63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212529"/>
          <w:spacing w:val="0"/>
          <w:sz w:val="24"/>
          <w:szCs w:val="24"/>
        </w:rPr>
      </w:pPr>
      <w:r>
        <w:rPr>
          <w:rFonts w:hint="eastAsia" w:ascii="Helvetica" w:hAnsi="Helvetica" w:eastAsia="Helvetica" w:cs="Helvetica"/>
          <w:i w:val="0"/>
          <w:iCs w:val="0"/>
          <w:caps w:val="0"/>
          <w:color w:val="212529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（</w:t>
      </w:r>
      <w:r>
        <w:rPr>
          <w:rFonts w:hint="default" w:ascii="Helvetica" w:hAnsi="Helvetica" w:eastAsia="Helvetica" w:cs="Helvetica"/>
          <w:i w:val="0"/>
          <w:iCs w:val="0"/>
          <w:caps w:val="0"/>
          <w:color w:val="212529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2</w:t>
      </w:r>
      <w:r>
        <w:rPr>
          <w:rFonts w:hint="eastAsia" w:ascii="Helvetica" w:hAnsi="Helvetica" w:eastAsia="Helvetica" w:cs="Helvetica"/>
          <w:i w:val="0"/>
          <w:iCs w:val="0"/>
          <w:caps w:val="0"/>
          <w:color w:val="212529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）</w:t>
      </w:r>
      <w:r>
        <w:rPr>
          <w:rFonts w:hint="default" w:ascii="Helvetica" w:hAnsi="Helvetica" w:eastAsia="Helvetica" w:cs="Helvetica"/>
          <w:i w:val="0"/>
          <w:iCs w:val="0"/>
          <w:caps w:val="0"/>
          <w:color w:val="212529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完成原二轻集体企业的改革改制工作。</w:t>
      </w:r>
    </w:p>
    <w:p w14:paraId="6C822C6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63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212529"/>
          <w:spacing w:val="0"/>
          <w:sz w:val="24"/>
          <w:szCs w:val="24"/>
        </w:rPr>
      </w:pPr>
      <w:r>
        <w:rPr>
          <w:rFonts w:hint="eastAsia" w:ascii="Helvetica" w:hAnsi="Helvetica" w:eastAsia="Helvetica" w:cs="Helvetica"/>
          <w:i w:val="0"/>
          <w:iCs w:val="0"/>
          <w:caps w:val="0"/>
          <w:color w:val="212529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（</w:t>
      </w:r>
      <w:r>
        <w:rPr>
          <w:rFonts w:hint="default" w:ascii="Helvetica" w:hAnsi="Helvetica" w:eastAsia="Helvetica" w:cs="Helvetica"/>
          <w:i w:val="0"/>
          <w:iCs w:val="0"/>
          <w:caps w:val="0"/>
          <w:color w:val="212529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3</w:t>
      </w:r>
      <w:r>
        <w:rPr>
          <w:rFonts w:hint="eastAsia" w:ascii="Helvetica" w:hAnsi="Helvetica" w:eastAsia="Helvetica" w:cs="Helvetica"/>
          <w:i w:val="0"/>
          <w:iCs w:val="0"/>
          <w:caps w:val="0"/>
          <w:color w:val="212529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）</w:t>
      </w:r>
      <w:r>
        <w:rPr>
          <w:rFonts w:hint="default" w:ascii="Helvetica" w:hAnsi="Helvetica" w:eastAsia="Helvetica" w:cs="Helvetica"/>
          <w:i w:val="0"/>
          <w:iCs w:val="0"/>
          <w:caps w:val="0"/>
          <w:color w:val="212529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为已改制的二轻集体企业服务,处理遗留问题。</w:t>
      </w:r>
    </w:p>
    <w:p w14:paraId="437E66B7">
      <w:pPr>
        <w:numPr>
          <w:ilvl w:val="0"/>
          <w:numId w:val="0"/>
        </w:numPr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2、人员编制情况</w:t>
      </w:r>
    </w:p>
    <w:p w14:paraId="4BC753E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63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212529"/>
          <w:spacing w:val="0"/>
          <w:sz w:val="24"/>
          <w:szCs w:val="24"/>
        </w:rPr>
      </w:pPr>
      <w:r>
        <w:rPr>
          <w:rFonts w:ascii="宋体" w:hAnsi="宋体" w:eastAsia="宋体" w:cs="宋体"/>
          <w:i w:val="0"/>
          <w:iCs w:val="0"/>
          <w:caps w:val="0"/>
          <w:color w:val="212529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衡东县企业发展服务中心内设机构包括：本部门共有编制人数14人，本单位现有</w:t>
      </w:r>
      <w:r>
        <w:rPr>
          <w:rFonts w:hint="eastAsia" w:ascii="宋体" w:hAnsi="宋体" w:eastAsia="宋体" w:cs="宋体"/>
          <w:i w:val="0"/>
          <w:iCs w:val="0"/>
          <w:caps w:val="0"/>
          <w:color w:val="212529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股</w:t>
      </w:r>
      <w:r>
        <w:rPr>
          <w:rFonts w:ascii="宋体" w:hAnsi="宋体" w:eastAsia="宋体" w:cs="宋体"/>
          <w:i w:val="0"/>
          <w:iCs w:val="0"/>
          <w:caps w:val="0"/>
          <w:color w:val="212529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室3个，在职人员</w:t>
      </w:r>
      <w:r>
        <w:rPr>
          <w:rFonts w:hint="eastAsia" w:ascii="宋体" w:hAnsi="宋体" w:eastAsia="宋体" w:cs="宋体"/>
          <w:i w:val="0"/>
          <w:iCs w:val="0"/>
          <w:caps w:val="0"/>
          <w:color w:val="212529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12</w:t>
      </w:r>
      <w:r>
        <w:rPr>
          <w:rFonts w:ascii="宋体" w:hAnsi="宋体" w:eastAsia="宋体" w:cs="宋体"/>
          <w:i w:val="0"/>
          <w:iCs w:val="0"/>
          <w:caps w:val="0"/>
          <w:color w:val="212529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人，退休人员2</w:t>
      </w:r>
      <w:r>
        <w:rPr>
          <w:rFonts w:hint="eastAsia" w:ascii="宋体" w:hAnsi="宋体" w:eastAsia="宋体" w:cs="宋体"/>
          <w:i w:val="0"/>
          <w:iCs w:val="0"/>
          <w:caps w:val="0"/>
          <w:color w:val="212529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6</w:t>
      </w:r>
      <w:r>
        <w:rPr>
          <w:rFonts w:ascii="宋体" w:hAnsi="宋体" w:eastAsia="宋体" w:cs="宋体"/>
          <w:i w:val="0"/>
          <w:iCs w:val="0"/>
          <w:caps w:val="0"/>
          <w:color w:val="212529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人,遗属2人。本单位下设中小企业服务股、改制企业服务股、两化融合服务股。</w:t>
      </w:r>
    </w:p>
    <w:p w14:paraId="367B44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21" w:firstLineChars="1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二、预算支出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及绩效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情况</w:t>
      </w:r>
    </w:p>
    <w:p w14:paraId="3F82D6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21" w:firstLineChars="1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（一）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部门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预决算情况</w:t>
      </w:r>
    </w:p>
    <w:p w14:paraId="16DAB6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1.部门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预算情况</w:t>
      </w:r>
    </w:p>
    <w:p w14:paraId="4C12163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24</w:t>
      </w:r>
      <w:r>
        <w:rPr>
          <w:rFonts w:hint="eastAsia" w:ascii="仿宋" w:hAnsi="仿宋" w:eastAsia="仿宋" w:cs="仿宋"/>
          <w:sz w:val="32"/>
          <w:szCs w:val="32"/>
        </w:rPr>
        <w:t>年年初预算安排收入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190.04</w:t>
      </w:r>
      <w:r>
        <w:rPr>
          <w:rFonts w:hint="eastAsia" w:ascii="仿宋" w:hAnsi="仿宋" w:eastAsia="仿宋" w:cs="仿宋"/>
          <w:sz w:val="32"/>
          <w:szCs w:val="32"/>
        </w:rPr>
        <w:t>万元，其中一般公共财政拨款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190.04</w:t>
      </w:r>
      <w:r>
        <w:rPr>
          <w:rFonts w:hint="eastAsia" w:ascii="仿宋" w:hAnsi="仿宋" w:eastAsia="仿宋" w:cs="仿宋"/>
          <w:sz w:val="32"/>
          <w:szCs w:val="32"/>
        </w:rPr>
        <w:t>万元；20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24</w:t>
      </w:r>
      <w:r>
        <w:rPr>
          <w:rFonts w:hint="eastAsia" w:ascii="仿宋" w:hAnsi="仿宋" w:eastAsia="仿宋" w:cs="仿宋"/>
          <w:sz w:val="32"/>
          <w:szCs w:val="32"/>
        </w:rPr>
        <w:t>年年初预算安排支出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190.04</w:t>
      </w:r>
      <w:r>
        <w:rPr>
          <w:rFonts w:hint="eastAsia" w:ascii="仿宋" w:hAnsi="仿宋" w:eastAsia="仿宋" w:cs="仿宋"/>
          <w:sz w:val="32"/>
          <w:szCs w:val="32"/>
        </w:rPr>
        <w:t>万元，其中：基本支出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144.04</w:t>
      </w:r>
      <w:r>
        <w:rPr>
          <w:rFonts w:hint="eastAsia" w:ascii="仿宋" w:hAnsi="仿宋" w:eastAsia="仿宋" w:cs="仿宋"/>
          <w:sz w:val="32"/>
          <w:szCs w:val="32"/>
        </w:rPr>
        <w:t>万元，项目支出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46</w:t>
      </w:r>
      <w:r>
        <w:rPr>
          <w:rFonts w:hint="eastAsia" w:ascii="仿宋" w:hAnsi="仿宋" w:eastAsia="仿宋" w:cs="仿宋"/>
          <w:sz w:val="32"/>
          <w:szCs w:val="32"/>
        </w:rPr>
        <w:t>万元。</w:t>
      </w:r>
    </w:p>
    <w:p w14:paraId="6A76561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2.部门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决算情况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含年中预算追加情况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）</w:t>
      </w:r>
    </w:p>
    <w:p w14:paraId="4158EA8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2024</w:t>
      </w:r>
      <w:r>
        <w:rPr>
          <w:rFonts w:hint="eastAsia" w:ascii="仿宋" w:hAnsi="仿宋" w:eastAsia="仿宋" w:cs="仿宋"/>
          <w:sz w:val="32"/>
          <w:szCs w:val="32"/>
        </w:rPr>
        <w:t>年决算总收入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208.64</w:t>
      </w:r>
      <w:r>
        <w:rPr>
          <w:rFonts w:hint="eastAsia" w:ascii="仿宋" w:hAnsi="仿宋" w:eastAsia="仿宋" w:cs="仿宋"/>
          <w:sz w:val="32"/>
          <w:szCs w:val="32"/>
        </w:rPr>
        <w:t>万元，较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年初</w:t>
      </w:r>
      <w:r>
        <w:rPr>
          <w:rFonts w:hint="eastAsia" w:ascii="仿宋" w:hAnsi="仿宋" w:eastAsia="仿宋" w:cs="仿宋"/>
          <w:sz w:val="32"/>
          <w:szCs w:val="32"/>
        </w:rPr>
        <w:t>预算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增加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18.6</w:t>
      </w:r>
      <w:r>
        <w:rPr>
          <w:rFonts w:hint="eastAsia" w:ascii="仿宋" w:hAnsi="仿宋" w:eastAsia="仿宋" w:cs="仿宋"/>
          <w:sz w:val="32"/>
          <w:szCs w:val="32"/>
        </w:rPr>
        <w:t>万元，总支出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208.64</w:t>
      </w:r>
      <w:r>
        <w:rPr>
          <w:rFonts w:hint="eastAsia" w:ascii="仿宋" w:hAnsi="仿宋" w:eastAsia="仿宋" w:cs="仿宋"/>
          <w:sz w:val="32"/>
          <w:szCs w:val="32"/>
        </w:rPr>
        <w:t>万元，其中：基本支出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153.91</w:t>
      </w:r>
      <w:r>
        <w:rPr>
          <w:rFonts w:hint="eastAsia" w:ascii="仿宋" w:hAnsi="仿宋" w:eastAsia="仿宋" w:cs="仿宋"/>
          <w:sz w:val="32"/>
          <w:szCs w:val="32"/>
        </w:rPr>
        <w:t>万元，占总支出的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73.77</w:t>
      </w:r>
      <w:r>
        <w:rPr>
          <w:rFonts w:hint="eastAsia" w:ascii="仿宋" w:hAnsi="仿宋" w:eastAsia="仿宋" w:cs="仿宋"/>
          <w:sz w:val="32"/>
          <w:szCs w:val="32"/>
        </w:rPr>
        <w:t>％；项目支出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54.73</w:t>
      </w:r>
      <w:r>
        <w:rPr>
          <w:rFonts w:hint="eastAsia" w:ascii="仿宋" w:hAnsi="仿宋" w:eastAsia="仿宋" w:cs="仿宋"/>
          <w:sz w:val="32"/>
          <w:szCs w:val="32"/>
        </w:rPr>
        <w:t>万元，占总支出的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26.23</w:t>
      </w:r>
      <w:r>
        <w:rPr>
          <w:rFonts w:hint="eastAsia" w:ascii="仿宋" w:hAnsi="仿宋" w:eastAsia="仿宋" w:cs="仿宋"/>
          <w:sz w:val="32"/>
          <w:szCs w:val="32"/>
        </w:rPr>
        <w:t>％。差异产生的主要原因是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由于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年底没及时结算到位</w:t>
      </w:r>
      <w:r>
        <w:rPr>
          <w:rFonts w:hint="eastAsia" w:ascii="宋体" w:hAnsi="宋体" w:eastAsia="宋体" w:cs="宋体"/>
          <w:sz w:val="32"/>
          <w:szCs w:val="32"/>
        </w:rPr>
        <w:t>。</w:t>
      </w:r>
    </w:p>
    <w:p w14:paraId="61608A6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3.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“三公"经费执行情况</w:t>
      </w:r>
    </w:p>
    <w:p w14:paraId="0F8E080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2024年</w:t>
      </w:r>
      <w:r>
        <w:rPr>
          <w:rFonts w:hint="eastAsia" w:ascii="仿宋" w:hAnsi="仿宋" w:eastAsia="仿宋" w:cs="仿宋"/>
          <w:sz w:val="32"/>
          <w:szCs w:val="32"/>
        </w:rPr>
        <w:t>“三公"经费预算数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万元，其中：因公出国（境）费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万元，公务用车购置及运行维护费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万元，公务接待费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万元。“三公"经费决算数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0.068</w:t>
      </w:r>
      <w:r>
        <w:rPr>
          <w:rFonts w:hint="eastAsia" w:ascii="仿宋" w:hAnsi="仿宋" w:eastAsia="仿宋" w:cs="仿宋"/>
          <w:sz w:val="32"/>
          <w:szCs w:val="32"/>
        </w:rPr>
        <w:t>元，其中：因公出国（境）费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万元，公务用车运行维护费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万元，公务接待费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0.068</w:t>
      </w:r>
      <w:r>
        <w:rPr>
          <w:rFonts w:hint="eastAsia" w:ascii="仿宋" w:hAnsi="仿宋" w:eastAsia="仿宋" w:cs="仿宋"/>
          <w:sz w:val="32"/>
          <w:szCs w:val="32"/>
        </w:rPr>
        <w:t>万元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 w14:paraId="07D4D01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4.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政府采购执行情况</w:t>
      </w:r>
    </w:p>
    <w:p w14:paraId="35FACE4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24</w:t>
      </w:r>
      <w:r>
        <w:rPr>
          <w:rFonts w:hint="eastAsia" w:ascii="仿宋" w:hAnsi="仿宋" w:eastAsia="仿宋" w:cs="仿宋"/>
          <w:sz w:val="32"/>
          <w:szCs w:val="32"/>
        </w:rPr>
        <w:t>年度政府采购支出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万元，其中：货物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元，工程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万元，服务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万元。</w:t>
      </w:r>
    </w:p>
    <w:p w14:paraId="22BD17E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5.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资产管理情况</w:t>
      </w:r>
    </w:p>
    <w:p w14:paraId="1D02F6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24</w:t>
      </w:r>
      <w:r>
        <w:rPr>
          <w:rFonts w:hint="eastAsia" w:ascii="仿宋" w:hAnsi="仿宋" w:eastAsia="仿宋" w:cs="仿宋"/>
          <w:sz w:val="32"/>
          <w:szCs w:val="32"/>
        </w:rPr>
        <w:t>年年末资产总额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590.28</w:t>
      </w:r>
      <w:r>
        <w:rPr>
          <w:rFonts w:hint="eastAsia" w:ascii="仿宋" w:hAnsi="仿宋" w:eastAsia="仿宋" w:cs="仿宋"/>
          <w:sz w:val="32"/>
          <w:szCs w:val="32"/>
        </w:rPr>
        <w:t>万元，负债总额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263.89</w:t>
      </w:r>
      <w:r>
        <w:rPr>
          <w:rFonts w:hint="eastAsia" w:ascii="仿宋" w:hAnsi="仿宋" w:eastAsia="仿宋" w:cs="仿宋"/>
          <w:sz w:val="32"/>
          <w:szCs w:val="32"/>
        </w:rPr>
        <w:t>万元，净资产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326.39</w:t>
      </w:r>
      <w:r>
        <w:rPr>
          <w:rFonts w:hint="eastAsia" w:ascii="仿宋" w:hAnsi="仿宋" w:eastAsia="仿宋" w:cs="仿宋"/>
          <w:sz w:val="32"/>
          <w:szCs w:val="32"/>
        </w:rPr>
        <w:t>万元。截至202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年12月31日，固定资产账面原值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56.32</w:t>
      </w:r>
      <w:r>
        <w:rPr>
          <w:rFonts w:hint="eastAsia" w:ascii="仿宋" w:hAnsi="仿宋" w:eastAsia="仿宋" w:cs="仿宋"/>
          <w:sz w:val="32"/>
          <w:szCs w:val="32"/>
        </w:rPr>
        <w:t>万元，在用资产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56.32</w:t>
      </w:r>
      <w:r>
        <w:rPr>
          <w:rFonts w:hint="eastAsia" w:ascii="仿宋" w:hAnsi="仿宋" w:eastAsia="仿宋" w:cs="仿宋"/>
          <w:sz w:val="32"/>
          <w:szCs w:val="32"/>
        </w:rPr>
        <w:t>万元，资产使用率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100</w:t>
      </w:r>
      <w:r>
        <w:rPr>
          <w:rFonts w:hint="eastAsia" w:ascii="仿宋" w:hAnsi="仿宋" w:eastAsia="仿宋" w:cs="仿宋"/>
          <w:sz w:val="32"/>
          <w:szCs w:val="32"/>
        </w:rPr>
        <w:t>%。</w:t>
      </w:r>
    </w:p>
    <w:p w14:paraId="623FFF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21" w:firstLineChars="1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（二）资金使用及绩效情况</w:t>
      </w:r>
    </w:p>
    <w:p w14:paraId="0E13ED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1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整体绩效目标完成情况</w:t>
      </w:r>
    </w:p>
    <w:p w14:paraId="2866DEE0">
      <w:pPr>
        <w:pStyle w:val="2"/>
        <w:ind w:left="0" w:leftChars="0" w:firstLine="640" w:firstLineChars="200"/>
        <w:rPr>
          <w:rFonts w:hint="default" w:eastAsia="仿宋"/>
          <w:b w:val="0"/>
          <w:bCs w:val="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整体支出完成情况良好，年初预算为238.44万元，全年执行数为208.88万元，执行率为87.60%，其中：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基本支出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156.61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万元，占总支出的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74.98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％；项目支出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52.27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万元，占总支出的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25.02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％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是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由于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年底没及时结算到位</w:t>
      </w:r>
      <w:r>
        <w:rPr>
          <w:rFonts w:hint="eastAsia" w:ascii="宋体" w:hAnsi="宋体" w:eastAsia="宋体" w:cs="宋体"/>
          <w:sz w:val="32"/>
          <w:szCs w:val="32"/>
        </w:rPr>
        <w:t>。</w:t>
      </w:r>
    </w:p>
    <w:p w14:paraId="14A533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2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.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项目绩效目标完成情况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仅对40万元以上的项目资金进行分项说明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）</w:t>
      </w:r>
    </w:p>
    <w:p w14:paraId="55A7FABF">
      <w:pPr>
        <w:pStyle w:val="2"/>
        <w:ind w:left="0" w:leftChars="0" w:firstLine="640" w:firstLineChars="200"/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color="auto" w:fill="F9F9F9"/>
        </w:rPr>
        <w:t>处理改制企业遗留问题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经费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财政年初预算46万元，全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年执行数为</w:t>
      </w:r>
      <w:r>
        <w:rPr>
          <w:rFonts w:hint="eastAsia" w:ascii="Times New Roman" w:cs="仿宋_GB2312"/>
          <w:sz w:val="32"/>
          <w:szCs w:val="32"/>
          <w:lang w:val="en-US" w:eastAsia="zh-CN" w:bidi="zh-CN"/>
        </w:rPr>
        <w:t>42.63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万元，执行率为92.67%，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主要原因是</w:t>
      </w:r>
      <w:r>
        <w:rPr>
          <w:rFonts w:hint="eastAsia" w:ascii="仿宋" w:hAnsi="仿宋" w:eastAsia="仿宋" w:cs="仿宋"/>
          <w:sz w:val="32"/>
          <w:szCs w:val="32"/>
        </w:rPr>
        <w:t>是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由于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年底没及时结算到位</w:t>
      </w:r>
      <w:r>
        <w:rPr>
          <w:rFonts w:hint="eastAsia" w:ascii="宋体" w:hAnsi="宋体" w:eastAsia="宋体" w:cs="宋体"/>
          <w:sz w:val="32"/>
          <w:szCs w:val="32"/>
        </w:rPr>
        <w:t>。</w:t>
      </w:r>
    </w:p>
    <w:p w14:paraId="23122061">
      <w:pPr>
        <w:pStyle w:val="2"/>
        <w:rPr>
          <w:rFonts w:hint="eastAsia"/>
          <w:lang w:val="en-US" w:eastAsia="zh-CN"/>
        </w:rPr>
      </w:pPr>
    </w:p>
    <w:p w14:paraId="75F9771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Chars="0" w:firstLine="643" w:firstLineChars="200"/>
        <w:textAlignment w:val="auto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三、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存在的问题及改进措施</w:t>
      </w:r>
    </w:p>
    <w:p w14:paraId="437CE39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210" w:leftChars="0" w:firstLine="320" w:firstLineChars="100"/>
        <w:textAlignment w:val="auto"/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（一）资金年初不能准确预估，支付进度不能科学把握。</w:t>
      </w:r>
    </w:p>
    <w:p w14:paraId="66F44AC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210" w:leftChars="0" w:firstLine="320" w:firstLineChars="100"/>
        <w:textAlignment w:val="auto"/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（二）公用经费支出压减，单位运行比较困难。</w:t>
      </w:r>
    </w:p>
    <w:p w14:paraId="3B155E5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210" w:leftChars="0" w:firstLine="320" w:firstLineChars="100"/>
        <w:textAlignment w:val="auto"/>
        <w:rPr>
          <w:rFonts w:hint="default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（三）在以后年度要加强跟财政预算等支出等相关部门的衔接，尽量精确地做好预算支出。</w:t>
      </w:r>
    </w:p>
    <w:p w14:paraId="2196593A">
      <w:pPr>
        <w:pStyle w:val="2"/>
        <w:numPr>
          <w:ilvl w:val="0"/>
          <w:numId w:val="0"/>
        </w:numPr>
        <w:ind w:left="210" w:leftChars="0"/>
        <w:rPr>
          <w:rFonts w:hint="eastAsia"/>
        </w:rPr>
      </w:pPr>
    </w:p>
    <w:p w14:paraId="6647F1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四、其他需要说明的情况</w:t>
      </w:r>
    </w:p>
    <w:p w14:paraId="463F42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无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其他需要说明的情况</w:t>
      </w:r>
    </w:p>
    <w:p w14:paraId="41096EC7">
      <w:pPr>
        <w:pStyle w:val="2"/>
        <w:ind w:left="0" w:leftChars="0" w:firstLine="0" w:firstLineChars="0"/>
        <w:rPr>
          <w:rFonts w:hint="eastAsia" w:ascii="仿宋" w:hAnsi="仿宋" w:eastAsia="仿宋" w:cs="仿宋"/>
          <w:sz w:val="32"/>
          <w:szCs w:val="32"/>
        </w:rPr>
      </w:pPr>
    </w:p>
    <w:p w14:paraId="09E9C4A4">
      <w:pPr>
        <w:jc w:val="center"/>
        <w:rPr>
          <w:rFonts w:hint="eastAsia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</w:t>
      </w:r>
      <w:r>
        <w:rPr>
          <w:rFonts w:hint="eastAsia"/>
          <w:sz w:val="36"/>
          <w:szCs w:val="36"/>
          <w:lang w:val="en-US" w:eastAsia="zh-CN"/>
        </w:rPr>
        <w:t>衡东县企业发展服务中心</w:t>
      </w:r>
    </w:p>
    <w:p w14:paraId="01934A7A">
      <w:pPr>
        <w:pStyle w:val="2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 xml:space="preserve">                    2025年5月26</w:t>
      </w:r>
      <w:bookmarkStart w:id="0" w:name="_GoBack"/>
      <w:bookmarkEnd w:id="0"/>
      <w:r>
        <w:rPr>
          <w:rFonts w:hint="eastAsia"/>
          <w:sz w:val="36"/>
          <w:szCs w:val="36"/>
          <w:lang w:val="en-US" w:eastAsia="zh-CN"/>
        </w:rPr>
        <w:t>日</w:t>
      </w:r>
    </w:p>
    <w:p w14:paraId="528F6941">
      <w:pPr>
        <w:numPr>
          <w:ilvl w:val="0"/>
          <w:numId w:val="0"/>
        </w:numPr>
        <w:jc w:val="left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65ED8CE"/>
    <w:multiLevelType w:val="singleLevel"/>
    <w:tmpl w:val="B65ED8C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hmMTk5ZGQ3YjMyN2Y3ZTc3MzZjZTBhNTdjNzNhYzUifQ=="/>
  </w:docVars>
  <w:rsids>
    <w:rsidRoot w:val="00000000"/>
    <w:rsid w:val="02245227"/>
    <w:rsid w:val="0BAB4DBC"/>
    <w:rsid w:val="14467430"/>
    <w:rsid w:val="15877D00"/>
    <w:rsid w:val="161B3A51"/>
    <w:rsid w:val="18C1554D"/>
    <w:rsid w:val="21E765A0"/>
    <w:rsid w:val="22E62AB1"/>
    <w:rsid w:val="246D1BCF"/>
    <w:rsid w:val="27893DAB"/>
    <w:rsid w:val="2A097D92"/>
    <w:rsid w:val="2B5B644E"/>
    <w:rsid w:val="2FBC5380"/>
    <w:rsid w:val="328F5FEE"/>
    <w:rsid w:val="33415008"/>
    <w:rsid w:val="45C0699C"/>
    <w:rsid w:val="4ED33793"/>
    <w:rsid w:val="5199765C"/>
    <w:rsid w:val="549B5123"/>
    <w:rsid w:val="58072D83"/>
    <w:rsid w:val="58137F7D"/>
    <w:rsid w:val="5E000F20"/>
    <w:rsid w:val="6A0475F0"/>
    <w:rsid w:val="73043557"/>
    <w:rsid w:val="74975C26"/>
    <w:rsid w:val="762F68B3"/>
    <w:rsid w:val="7CDC5B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1"/>
    <w:qFormat/>
    <w:uiPriority w:val="0"/>
    <w:pPr>
      <w:ind w:left="420" w:leftChars="200" w:firstLine="21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939</Words>
  <Characters>1105</Characters>
  <Lines>0</Lines>
  <Paragraphs>0</Paragraphs>
  <TotalTime>63</TotalTime>
  <ScaleCrop>false</ScaleCrop>
  <LinksUpToDate>false</LinksUpToDate>
  <CharactersWithSpaces>1140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2023-02-10T13:30:00Z</dcterms:created>
  <dc:creator>Administrator</dc:creator>
  <cp:lastModifiedBy>學不會</cp:lastModifiedBy>
  <dcterms:modified xsi:type="dcterms:W3CDTF">2025-05-26T01:52:49Z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B87188A85DB84A948143F77500F7E440</vt:lpwstr>
  </property>
  <property fmtid="{D5CDD505-2E9C-101B-9397-08002B2CF9AE}" pid="4" name="KSOTemplateDocerSaveRecord">
    <vt:lpwstr>eyJoZGlkIjoiMzNmNWU5ZmY4ODJkYmZhNmM5ZTQ2NjQ0ZjVhMTMxMGEiLCJ1c2VySWQiOiIyNDcwMjQ4MTAifQ==</vt:lpwstr>
  </property>
</Properties>
</file>