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D2EFE">
      <w:pPr>
        <w:jc w:val="left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 w14:paraId="0CDCF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Calibri" w:hAnsi="黑体" w:eastAsia="黑体" w:cs="黑体"/>
          <w:b/>
          <w:bCs/>
          <w:sz w:val="24"/>
          <w:szCs w:val="24"/>
          <w:lang w:eastAsia="zh-CN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20</w:t>
      </w:r>
      <w:r>
        <w:rPr>
          <w:rFonts w:hint="eastAsia" w:ascii="Calibri" w:hAnsi="黑体" w:eastAsia="黑体" w:cs="黑体"/>
          <w:b/>
          <w:bCs/>
          <w:sz w:val="24"/>
          <w:szCs w:val="24"/>
          <w:lang w:val="en-US" w:eastAsia="zh-CN"/>
        </w:rPr>
        <w:t>2</w:t>
      </w:r>
      <w:r>
        <w:rPr>
          <w:rFonts w:hint="eastAsia" w:hAnsi="黑体" w:eastAsia="黑体" w:cs="黑体"/>
          <w:b/>
          <w:bCs/>
          <w:sz w:val="24"/>
          <w:szCs w:val="24"/>
          <w:lang w:val="en-US" w:eastAsia="zh-CN"/>
        </w:rPr>
        <w:t>4</w:t>
      </w:r>
      <w:r>
        <w:rPr>
          <w:rFonts w:hint="eastAsia" w:ascii="Calibri" w:hAnsi="黑体" w:eastAsia="黑体" w:cs="黑体"/>
          <w:b/>
          <w:bCs/>
          <w:sz w:val="24"/>
          <w:szCs w:val="24"/>
        </w:rPr>
        <w:t>年度部门整体支出绩效评</w:t>
      </w:r>
      <w:r>
        <w:rPr>
          <w:rFonts w:hint="eastAsia" w:hAnsi="黑体" w:eastAsia="黑体" w:cs="黑体"/>
          <w:b/>
          <w:bCs/>
          <w:sz w:val="24"/>
          <w:szCs w:val="24"/>
          <w:lang w:eastAsia="zh-CN"/>
        </w:rPr>
        <w:t>价</w:t>
      </w:r>
      <w:r>
        <w:rPr>
          <w:rFonts w:hint="eastAsia" w:ascii="Calibri" w:hAnsi="黑体" w:eastAsia="黑体" w:cs="黑体"/>
          <w:b/>
          <w:bCs/>
          <w:sz w:val="24"/>
          <w:szCs w:val="24"/>
        </w:rPr>
        <w:t>报告</w:t>
      </w:r>
    </w:p>
    <w:p w14:paraId="22C48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Calibri"/>
          <w:sz w:val="24"/>
          <w:szCs w:val="24"/>
        </w:rPr>
      </w:pPr>
    </w:p>
    <w:p w14:paraId="3ED84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黑体" w:eastAsia="黑体" w:cs="黑体"/>
          <w:b/>
          <w:bCs/>
          <w:sz w:val="24"/>
          <w:szCs w:val="24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一、单位基本情况</w:t>
      </w:r>
    </w:p>
    <w:p w14:paraId="53269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（一）部门主要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职责</w:t>
      </w:r>
    </w:p>
    <w:p w14:paraId="68DAE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30" w:leftChars="443" w:firstLine="376" w:firstLineChars="157"/>
        <w:jc w:val="both"/>
        <w:textAlignment w:val="auto"/>
        <w:rPr>
          <w:rFonts w:ascii="Calibri" w:hAnsi="仿宋" w:eastAsia="仿宋" w:cs="仿宋"/>
          <w:sz w:val="24"/>
          <w:szCs w:val="24"/>
          <w:lang w:val="en-US" w:eastAsia="zh-CN" w:bidi="ar-SA"/>
        </w:rPr>
      </w:pPr>
      <w:r>
        <w:rPr>
          <w:rFonts w:hint="eastAsia" w:ascii="Calibri" w:hAnsi="仿宋" w:eastAsia="仿宋" w:cs="仿宋"/>
          <w:sz w:val="24"/>
          <w:szCs w:val="24"/>
          <w:lang w:val="en-US" w:eastAsia="zh-CN" w:bidi="ar-SA"/>
        </w:rPr>
        <w:t>水运事务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>中心为财政全额拨款</w:t>
      </w:r>
      <w:r>
        <w:rPr>
          <w:rFonts w:ascii="Calibri" w:hAnsi="仿宋" w:eastAsia="仿宋" w:cs="仿宋"/>
          <w:color w:val="auto"/>
          <w:sz w:val="24"/>
          <w:szCs w:val="24"/>
          <w:lang w:val="en-US" w:eastAsia="zh-CN" w:bidi="ar-SA"/>
        </w:rPr>
        <w:t>公益一类事业单位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>，现有在职人员</w:t>
      </w:r>
      <w:r>
        <w:rPr>
          <w:rFonts w:hint="eastAsia" w:ascii="Calibri" w:hAnsi="仿宋" w:eastAsia="仿宋" w:cs="仿宋"/>
          <w:sz w:val="24"/>
          <w:szCs w:val="24"/>
          <w:lang w:val="en-US" w:eastAsia="zh-CN" w:bidi="ar-SA"/>
        </w:rPr>
        <w:t xml:space="preserve"> 2</w:t>
      </w:r>
      <w:r>
        <w:rPr>
          <w:rFonts w:hint="eastAsia" w:hAnsi="仿宋" w:eastAsia="仿宋" w:cs="仿宋"/>
          <w:sz w:val="24"/>
          <w:szCs w:val="24"/>
          <w:lang w:val="en-US" w:eastAsia="zh-CN" w:bidi="ar-SA"/>
        </w:rPr>
        <w:t>2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 xml:space="preserve">人，退休人员 </w:t>
      </w:r>
      <w:r>
        <w:rPr>
          <w:rFonts w:hint="eastAsia" w:ascii="Calibri" w:hAnsi="仿宋" w:eastAsia="仿宋" w:cs="仿宋"/>
          <w:sz w:val="24"/>
          <w:szCs w:val="24"/>
          <w:lang w:val="en-US" w:eastAsia="zh-CN" w:bidi="ar-SA"/>
        </w:rPr>
        <w:t>8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>人，主要负责全县</w:t>
      </w:r>
      <w:r>
        <w:rPr>
          <w:rFonts w:hint="eastAsia" w:ascii="Calibri" w:hAnsi="仿宋" w:eastAsia="仿宋" w:cs="仿宋"/>
          <w:sz w:val="24"/>
          <w:szCs w:val="24"/>
          <w:lang w:val="en-US" w:eastAsia="zh-CN" w:bidi="ar-SA"/>
        </w:rPr>
        <w:t xml:space="preserve">：主要负责县域内水运事务性工作。贯彻执行有关水路交通工作的方针政策和法律法规；实施水路运输行业市场运行管理、从业人员考核工作;组织实施水路运输船舶年度审验工作；承担县交通运输局交办的行政许可前期勘验、资料审核等事务性工作；负责组织开展水路运输企业年度核查工作；负责水路运输行业节能减排工作；负责农村水路客运船舶燃油补贴审核、申报工作；负责指导协助全县水上交通运输行业安全生产和应急处置工作；负责全县船舶、船员登记工作;负责全县船舶及水上设施的法定检验，承办有关公正检验业务；负责水路营运证件、标志标牌的申领、发放工作；负责水路运输的政策宣传，负责全县船管员、签单发航员、客渡船船员的培训和继续教育；负责水运行业科技、统计和信息收集、整理、交流等工作;负责通航水域航道维护；负责全县渡口码头维护前期工作的申报、勘验 </w:t>
      </w:r>
      <w:r>
        <w:rPr>
          <w:rFonts w:ascii="Calibri" w:hAnsi="仿宋" w:eastAsia="仿宋" w:cs="仿宋"/>
          <w:sz w:val="24"/>
          <w:szCs w:val="24"/>
          <w:lang w:val="en-US" w:eastAsia="zh-CN" w:bidi="ar-SA"/>
        </w:rPr>
        <w:t>。</w:t>
      </w:r>
    </w:p>
    <w:p w14:paraId="480FEEC6">
      <w:pPr>
        <w:pStyle w:val="2"/>
        <w:rPr>
          <w:rFonts w:hint="eastAsia" w:ascii="Calibri"/>
          <w:sz w:val="24"/>
          <w:szCs w:val="24"/>
        </w:rPr>
      </w:pPr>
    </w:p>
    <w:p w14:paraId="4644767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人员编制情况</w:t>
      </w:r>
    </w:p>
    <w:p w14:paraId="4A8C8546">
      <w:pPr>
        <w:pStyle w:val="2"/>
        <w:numPr>
          <w:ilvl w:val="0"/>
          <w:numId w:val="0"/>
        </w:numPr>
        <w:ind w:left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Calibri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衡东县水运事务中心全额事业编制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名。设主任1名，副主任3名：股室负责人5名。</w:t>
      </w:r>
    </w:p>
    <w:p w14:paraId="3F03F1E9">
      <w:pPr>
        <w:pStyle w:val="2"/>
        <w:numPr>
          <w:ilvl w:val="0"/>
          <w:numId w:val="0"/>
        </w:numPr>
        <w:ind w:left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4540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黑体" w:eastAsia="黑体" w:cs="黑体"/>
          <w:sz w:val="24"/>
          <w:szCs w:val="24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二、预算支出</w:t>
      </w:r>
      <w:r>
        <w:rPr>
          <w:rFonts w:hint="eastAsia" w:ascii="Calibri" w:hAnsi="黑体" w:eastAsia="黑体" w:cs="黑体"/>
          <w:b/>
          <w:bCs/>
          <w:sz w:val="24"/>
          <w:szCs w:val="24"/>
          <w:lang w:val="en-US" w:eastAsia="zh-CN"/>
        </w:rPr>
        <w:t>及绩效</w:t>
      </w:r>
      <w:r>
        <w:rPr>
          <w:rFonts w:hint="eastAsia" w:ascii="Calibri" w:hAnsi="黑体" w:eastAsia="黑体" w:cs="黑体"/>
          <w:b/>
          <w:bCs/>
          <w:sz w:val="24"/>
          <w:szCs w:val="24"/>
        </w:rPr>
        <w:t>情况</w:t>
      </w:r>
    </w:p>
    <w:p w14:paraId="23CBE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1" w:firstLineChars="1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</w:rPr>
        <w:t>（一）</w:t>
      </w: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部门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预决算情况</w:t>
      </w:r>
    </w:p>
    <w:p w14:paraId="4016F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1.部门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预算情况</w:t>
      </w:r>
    </w:p>
    <w:p w14:paraId="4F0D7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年年初预算安排收入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356.95</w:t>
      </w:r>
      <w:r>
        <w:rPr>
          <w:rFonts w:hint="eastAsia" w:ascii="宋体" w:hAnsi="宋体" w:eastAsia="宋体" w:cs="宋体"/>
          <w:sz w:val="24"/>
          <w:szCs w:val="24"/>
        </w:rPr>
        <w:t>万元，其中一般公共财政拨款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356.95</w:t>
      </w:r>
      <w:r>
        <w:rPr>
          <w:rFonts w:hint="eastAsia" w:ascii="宋体" w:hAnsi="宋体" w:eastAsia="宋体" w:cs="宋体"/>
          <w:sz w:val="24"/>
          <w:szCs w:val="24"/>
        </w:rPr>
        <w:t>万元；20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年年初预算安排支出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356.95</w:t>
      </w:r>
      <w:r>
        <w:rPr>
          <w:rFonts w:hint="eastAsia" w:ascii="宋体" w:hAnsi="宋体" w:eastAsia="宋体" w:cs="宋体"/>
          <w:sz w:val="24"/>
          <w:szCs w:val="24"/>
        </w:rPr>
        <w:t>万元，其中：基本支出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255.95</w:t>
      </w:r>
      <w:r>
        <w:rPr>
          <w:rFonts w:hint="eastAsia" w:ascii="宋体" w:hAnsi="宋体" w:eastAsia="宋体" w:cs="宋体"/>
          <w:sz w:val="24"/>
          <w:szCs w:val="24"/>
        </w:rPr>
        <w:t>万元，项目支出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101</w:t>
      </w:r>
      <w:r>
        <w:rPr>
          <w:rFonts w:hint="eastAsia" w:ascii="宋体" w:hAnsi="宋体" w:eastAsia="宋体" w:cs="宋体"/>
          <w:sz w:val="24"/>
          <w:szCs w:val="24"/>
        </w:rPr>
        <w:t>万元。</w:t>
      </w:r>
    </w:p>
    <w:p w14:paraId="6D2EB6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2.部门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决算情况</w:t>
      </w:r>
      <w:r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  <w:t>（</w:t>
      </w: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含年中预算追加情况</w:t>
      </w:r>
      <w:r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  <w:t>）</w:t>
      </w:r>
    </w:p>
    <w:p w14:paraId="7DB834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年决算总收入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360.49</w:t>
      </w:r>
      <w:r>
        <w:rPr>
          <w:rFonts w:hint="eastAsia" w:ascii="宋体" w:hAnsi="宋体" w:eastAsia="宋体" w:cs="宋体"/>
          <w:sz w:val="24"/>
          <w:szCs w:val="24"/>
        </w:rPr>
        <w:t>万元，较预算</w:t>
      </w:r>
      <w:r>
        <w:rPr>
          <w:rFonts w:hint="eastAsia" w:ascii="宋体" w:hAnsi="宋体" w:cs="宋体"/>
          <w:sz w:val="24"/>
          <w:szCs w:val="24"/>
          <w:lang w:eastAsia="zh-CN"/>
        </w:rPr>
        <w:t>增加了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3.54</w:t>
      </w:r>
      <w:r>
        <w:rPr>
          <w:rFonts w:hint="eastAsia" w:ascii="宋体" w:hAnsi="宋体" w:eastAsia="宋体" w:cs="宋体"/>
          <w:sz w:val="24"/>
          <w:szCs w:val="24"/>
        </w:rPr>
        <w:t>万元，总支出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360.49</w:t>
      </w:r>
      <w:r>
        <w:rPr>
          <w:rFonts w:hint="eastAsia" w:ascii="宋体" w:hAnsi="宋体" w:eastAsia="宋体" w:cs="宋体"/>
          <w:sz w:val="24"/>
          <w:szCs w:val="24"/>
        </w:rPr>
        <w:t>万元，其中：基本支出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282</w:t>
      </w:r>
      <w:r>
        <w:rPr>
          <w:rFonts w:hint="eastAsia" w:ascii="宋体" w:hAnsi="宋体" w:eastAsia="宋体" w:cs="宋体"/>
          <w:sz w:val="24"/>
          <w:szCs w:val="24"/>
        </w:rPr>
        <w:t>万元，占总支出的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78.22</w:t>
      </w:r>
      <w:r>
        <w:rPr>
          <w:rFonts w:hint="eastAsia" w:ascii="宋体" w:hAnsi="宋体" w:eastAsia="宋体" w:cs="宋体"/>
          <w:sz w:val="24"/>
          <w:szCs w:val="24"/>
        </w:rPr>
        <w:t>％；项目支出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78.49</w:t>
      </w:r>
      <w:r>
        <w:rPr>
          <w:rFonts w:hint="eastAsia" w:ascii="宋体" w:hAnsi="宋体" w:eastAsia="宋体" w:cs="宋体"/>
          <w:sz w:val="24"/>
          <w:szCs w:val="24"/>
        </w:rPr>
        <w:t>万元，占总支出的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21.78</w:t>
      </w:r>
      <w:r>
        <w:rPr>
          <w:rFonts w:hint="eastAsia" w:ascii="宋体" w:hAnsi="宋体" w:eastAsia="宋体" w:cs="宋体"/>
          <w:sz w:val="24"/>
          <w:szCs w:val="24"/>
        </w:rPr>
        <w:t>％。差异产生的主要原因是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：人员经费和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公用经费不足，少部分项目资金用于弥补人员经费和公用经费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22C6D6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3.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“三公"经费执行情况</w:t>
      </w:r>
    </w:p>
    <w:p w14:paraId="22E2C4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</w:rPr>
        <w:t>“三公"经费预算数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2.5</w:t>
      </w:r>
      <w:r>
        <w:rPr>
          <w:rFonts w:hint="eastAsia" w:ascii="宋体" w:hAnsi="宋体" w:eastAsia="宋体" w:cs="宋体"/>
          <w:sz w:val="24"/>
          <w:szCs w:val="24"/>
        </w:rPr>
        <w:t>万元，其中：因公出国（境）费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万元，公务用车购置及运行维护费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万元，公务接待费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2.5</w:t>
      </w:r>
      <w:r>
        <w:rPr>
          <w:rFonts w:hint="eastAsia" w:ascii="宋体" w:hAnsi="宋体" w:eastAsia="宋体" w:cs="宋体"/>
          <w:sz w:val="24"/>
          <w:szCs w:val="24"/>
        </w:rPr>
        <w:t>万元。“三公"经费决算数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0.7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198</w:t>
      </w:r>
      <w:r>
        <w:rPr>
          <w:rFonts w:hint="eastAsia" w:ascii="宋体" w:hAnsi="宋体" w:eastAsia="宋体" w:cs="宋体"/>
          <w:sz w:val="24"/>
          <w:szCs w:val="24"/>
        </w:rPr>
        <w:t>元，其中：因公出国（境）费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万元，公务用车运行维护费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万元，公务接待费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0.7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198</w:t>
      </w:r>
      <w:r>
        <w:rPr>
          <w:rFonts w:hint="eastAsia" w:ascii="宋体" w:hAnsi="宋体" w:eastAsia="宋体" w:cs="宋体"/>
          <w:sz w:val="24"/>
          <w:szCs w:val="24"/>
        </w:rPr>
        <w:t>万元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3DAA88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4.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政府采购执行情况</w:t>
      </w:r>
    </w:p>
    <w:p w14:paraId="7B73E9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年度政府采购支出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万元，其中：</w:t>
      </w:r>
      <w:r>
        <w:rPr>
          <w:rFonts w:hint="eastAsia" w:ascii="宋体" w:hAnsi="宋体" w:cs="宋体"/>
          <w:sz w:val="24"/>
          <w:szCs w:val="24"/>
          <w:lang w:eastAsia="zh-CN"/>
        </w:rPr>
        <w:t>汽车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179800</w:t>
      </w:r>
      <w:r>
        <w:rPr>
          <w:rFonts w:hint="eastAsia" w:ascii="宋体" w:hAnsi="宋体" w:eastAsia="宋体" w:cs="宋体"/>
          <w:sz w:val="24"/>
          <w:szCs w:val="24"/>
        </w:rPr>
        <w:t>元，工程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万元，服务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万元。</w:t>
      </w:r>
    </w:p>
    <w:p w14:paraId="555808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5.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资产管理情况</w:t>
      </w:r>
    </w:p>
    <w:p w14:paraId="27BF7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年年末资产总额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87.25</w:t>
      </w:r>
      <w:r>
        <w:rPr>
          <w:rFonts w:hint="eastAsia" w:ascii="宋体" w:hAnsi="宋体" w:eastAsia="宋体" w:cs="宋体"/>
          <w:sz w:val="24"/>
          <w:szCs w:val="24"/>
        </w:rPr>
        <w:t>万元，负债总额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14.11</w:t>
      </w:r>
      <w:r>
        <w:rPr>
          <w:rFonts w:hint="eastAsia" w:ascii="宋体" w:hAnsi="宋体" w:eastAsia="宋体" w:cs="宋体"/>
          <w:sz w:val="24"/>
          <w:szCs w:val="24"/>
        </w:rPr>
        <w:t>万元，净资产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73.14</w:t>
      </w:r>
      <w:r>
        <w:rPr>
          <w:rFonts w:hint="eastAsia" w:ascii="宋体" w:hAnsi="宋体" w:eastAsia="宋体" w:cs="宋体"/>
          <w:sz w:val="24"/>
          <w:szCs w:val="24"/>
        </w:rPr>
        <w:t>万元。截至202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年12月31日，固定资产账面原值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110.21</w:t>
      </w:r>
      <w:r>
        <w:rPr>
          <w:rFonts w:hint="eastAsia" w:ascii="宋体" w:hAnsi="宋体" w:eastAsia="宋体" w:cs="宋体"/>
          <w:sz w:val="24"/>
          <w:szCs w:val="24"/>
        </w:rPr>
        <w:t>万元。</w:t>
      </w:r>
    </w:p>
    <w:p w14:paraId="3A7C7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55A7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sz w:val="24"/>
          <w:szCs w:val="24"/>
        </w:rPr>
      </w:pPr>
      <w:r>
        <w:rPr>
          <w:rFonts w:hint="eastAsia" w:ascii="Calibri" w:hAnsi="仿宋" w:eastAsia="仿宋" w:cs="仿宋"/>
          <w:b/>
          <w:bCs/>
          <w:sz w:val="24"/>
          <w:szCs w:val="24"/>
        </w:rPr>
        <w:t>（二）资金使用及绩效情况</w:t>
      </w:r>
    </w:p>
    <w:p w14:paraId="424A0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Calibri" w:hAnsi="仿宋" w:eastAsia="仿宋" w:cs="仿宋"/>
          <w:b/>
          <w:bCs/>
          <w:sz w:val="24"/>
          <w:szCs w:val="24"/>
        </w:rPr>
        <w:t>1</w:t>
      </w: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.</w:t>
      </w:r>
      <w:r>
        <w:rPr>
          <w:rFonts w:hint="eastAsia" w:ascii="Calibri" w:hAnsi="仿宋" w:eastAsia="仿宋" w:cs="仿宋"/>
          <w:b/>
          <w:bCs/>
          <w:sz w:val="24"/>
          <w:szCs w:val="24"/>
        </w:rPr>
        <w:t>整体绩效目标完成情况</w:t>
      </w:r>
      <w:r>
        <w:rPr>
          <w:rFonts w:hint="eastAsia" w:ascii="Calibri" w:hAnsi="仿宋" w:eastAsia="仿宋" w:cs="仿宋"/>
          <w:b/>
          <w:bCs/>
          <w:sz w:val="24"/>
          <w:szCs w:val="24"/>
          <w:lang w:eastAsia="zh-CN"/>
        </w:rPr>
        <w:t>：</w:t>
      </w:r>
    </w:p>
    <w:p w14:paraId="4B34C18C">
      <w:pPr>
        <w:pStyle w:val="2"/>
        <w:rPr>
          <w:rFonts w:hint="default" w:ascii="Calibri"/>
          <w:sz w:val="24"/>
          <w:szCs w:val="24"/>
          <w:lang w:val="en-US" w:eastAsia="zh-CN"/>
        </w:rPr>
      </w:pP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202</w:t>
      </w:r>
      <w:r>
        <w:rPr>
          <w:rFonts w:hint="eastAsia" w:hAnsi="仿宋" w:eastAsia="仿宋" w:cs="仿宋"/>
          <w:b/>
          <w:bCs/>
          <w:sz w:val="24"/>
          <w:szCs w:val="24"/>
          <w:lang w:val="en-US" w:eastAsia="zh-CN"/>
        </w:rPr>
        <w:t>4</w:t>
      </w:r>
      <w:r>
        <w:rPr>
          <w:rFonts w:hint="eastAsia" w:ascii="Calibri" w:hAnsi="仿宋" w:eastAsia="仿宋" w:cs="仿宋"/>
          <w:b/>
          <w:bCs/>
          <w:sz w:val="24"/>
          <w:szCs w:val="24"/>
          <w:lang w:val="en-US" w:eastAsia="zh-CN"/>
        </w:rPr>
        <w:t>年确保了水上交通安全运行。</w:t>
      </w:r>
    </w:p>
    <w:p w14:paraId="45CD6D78">
      <w:pPr>
        <w:pStyle w:val="2"/>
        <w:rPr>
          <w:rFonts w:hint="eastAsia" w:ascii="Calibri"/>
          <w:sz w:val="24"/>
          <w:szCs w:val="24"/>
        </w:rPr>
      </w:pPr>
    </w:p>
    <w:p w14:paraId="56802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2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项目绩效目标完成情况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仅对50万元以上的项目资金进行分项说明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</w:p>
    <w:p w14:paraId="2E9B1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（1）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水上交通安全视频监控中心经费项目（80）万元：</w:t>
      </w:r>
    </w:p>
    <w:p w14:paraId="59A615A1"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确保了202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年签单发航员工资及时到位，保障了1条网络专用线畅通。保障了乘客安全。</w:t>
      </w:r>
    </w:p>
    <w:p w14:paraId="57F5EAB3">
      <w:pPr>
        <w:pStyle w:val="2"/>
        <w:rPr>
          <w:rFonts w:hint="eastAsia" w:ascii="Calibri"/>
          <w:sz w:val="24"/>
          <w:szCs w:val="24"/>
          <w:lang w:val="en-US" w:eastAsia="zh-CN"/>
        </w:rPr>
      </w:pPr>
    </w:p>
    <w:p w14:paraId="5FDE3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Calibri" w:hAnsi="黑体" w:eastAsia="黑体" w:cs="黑体"/>
          <w:b w:val="0"/>
          <w:bCs w:val="0"/>
          <w:sz w:val="24"/>
          <w:szCs w:val="24"/>
          <w:lang w:val="en-US" w:eastAsia="zh-CN"/>
        </w:rPr>
      </w:pPr>
    </w:p>
    <w:p w14:paraId="2CF8317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hint="eastAsia" w:ascii="Calibri" w:hAnsi="黑体" w:eastAsia="黑体" w:cs="黑体"/>
          <w:b/>
          <w:bCs/>
          <w:sz w:val="24"/>
          <w:szCs w:val="24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存在的问题及改进措施</w:t>
      </w:r>
    </w:p>
    <w:p w14:paraId="23DE260D">
      <w:pPr>
        <w:pStyle w:val="2"/>
        <w:numPr>
          <w:ilvl w:val="0"/>
          <w:numId w:val="0"/>
        </w:numPr>
        <w:ind w:leftChars="200" w:firstLine="480" w:firstLineChars="200"/>
        <w:rPr>
          <w:rFonts w:hint="eastAsia" w:ascii="Calibri" w:eastAsia="宋体"/>
          <w:sz w:val="24"/>
          <w:szCs w:val="24"/>
          <w:lang w:eastAsia="zh-CN"/>
        </w:rPr>
      </w:pPr>
      <w:r>
        <w:rPr>
          <w:rFonts w:hint="eastAsia" w:ascii="Calibri"/>
          <w:sz w:val="24"/>
          <w:szCs w:val="24"/>
          <w:lang w:eastAsia="zh-CN"/>
        </w:rPr>
        <w:t>因单位人员经费和公用经费不足，小部分资金用于弥补人员经费和公用经费不足了，在以后工作中尽量做到专款专用。</w:t>
      </w:r>
    </w:p>
    <w:p w14:paraId="5630021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82" w:firstLineChars="200"/>
        <w:textAlignment w:val="auto"/>
        <w:rPr>
          <w:rFonts w:hint="eastAsia" w:ascii="Calibri" w:hAnsi="黑体" w:eastAsia="黑体" w:cs="黑体"/>
          <w:b/>
          <w:bCs/>
          <w:sz w:val="24"/>
          <w:szCs w:val="24"/>
        </w:rPr>
      </w:pPr>
      <w:r>
        <w:rPr>
          <w:rFonts w:hint="eastAsia" w:ascii="Calibri" w:hAnsi="黑体" w:eastAsia="黑体" w:cs="黑体"/>
          <w:b/>
          <w:bCs/>
          <w:sz w:val="24"/>
          <w:szCs w:val="24"/>
        </w:rPr>
        <w:t>其他需要说明的情况</w:t>
      </w:r>
    </w:p>
    <w:p w14:paraId="1BBF8D50">
      <w:pPr>
        <w:pStyle w:val="2"/>
        <w:numPr>
          <w:ilvl w:val="0"/>
          <w:numId w:val="0"/>
        </w:numPr>
        <w:ind w:leftChars="200"/>
        <w:rPr>
          <w:rFonts w:hint="default" w:ascii="Calibri" w:eastAsia="宋体"/>
          <w:sz w:val="24"/>
          <w:szCs w:val="24"/>
          <w:lang w:val="en-US" w:eastAsia="zh-CN"/>
        </w:rPr>
      </w:pPr>
      <w:r>
        <w:rPr>
          <w:rFonts w:hint="eastAsia" w:ascii="Calibri"/>
          <w:sz w:val="24"/>
          <w:szCs w:val="24"/>
          <w:lang w:val="en-US" w:eastAsia="zh-CN"/>
        </w:rPr>
        <w:t xml:space="preserve">    无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C8A968"/>
    <w:multiLevelType w:val="singleLevel"/>
    <w:tmpl w:val="AEC8A96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8CEC804"/>
    <w:multiLevelType w:val="singleLevel"/>
    <w:tmpl w:val="D8CEC80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NjcwM2U0NDM4Y2M2NzYyNDJmYzMxNjE0YmI2MmYifQ=="/>
  </w:docVars>
  <w:rsids>
    <w:rsidRoot w:val="00000000"/>
    <w:rsid w:val="0EE9207D"/>
    <w:rsid w:val="165A2932"/>
    <w:rsid w:val="20DC64E6"/>
    <w:rsid w:val="24705D3D"/>
    <w:rsid w:val="2C306D92"/>
    <w:rsid w:val="40D94037"/>
    <w:rsid w:val="420D396B"/>
    <w:rsid w:val="46292E12"/>
    <w:rsid w:val="54915CA5"/>
    <w:rsid w:val="54EC716B"/>
    <w:rsid w:val="64957987"/>
    <w:rsid w:val="70A14AA2"/>
    <w:rsid w:val="7C28317D"/>
    <w:rsid w:val="7FD75F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1107</Words>
  <Characters>1235</Characters>
  <Lines>0</Lines>
  <Paragraphs>0</Paragraphs>
  <TotalTime>438</TotalTime>
  <ScaleCrop>false</ScaleCrop>
  <LinksUpToDate>false</LinksUpToDate>
  <CharactersWithSpaces>1248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2023-01-28T02:02:00Z</dcterms:created>
  <dc:creator>Lenovo</dc:creator>
  <cp:lastModifiedBy>小日子</cp:lastModifiedBy>
  <dcterms:modified xsi:type="dcterms:W3CDTF">2025-10-15T03:08:42Z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5FD1486C4010401B9EA179F3A30F5D83_13</vt:lpwstr>
  </property>
  <property fmtid="{D5CDD505-2E9C-101B-9397-08002B2CF9AE}" pid="4" name="KSOTemplateDocerSaveRecord">
    <vt:lpwstr>eyJoZGlkIjoiOTFhODEwYmU0YjliZmM5ZWY0OGVjNjc5NjBhNTY0YTQiLCJ1c2VySWQiOiIzMTc0MjUzNjkifQ==</vt:lpwstr>
  </property>
</Properties>
</file>